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3" w:type="dxa"/>
        <w:tblLook w:val="04A0" w:firstRow="1" w:lastRow="0" w:firstColumn="1" w:lastColumn="0" w:noHBand="0" w:noVBand="1"/>
      </w:tblPr>
      <w:tblGrid>
        <w:gridCol w:w="1372"/>
        <w:gridCol w:w="8121"/>
      </w:tblGrid>
      <w:tr w:rsidR="00E620DB" w14:paraId="4972B1CB" w14:textId="77777777" w:rsidTr="00152760">
        <w:tc>
          <w:tcPr>
            <w:tcW w:w="1372" w:type="dxa"/>
          </w:tcPr>
          <w:p w14:paraId="7C435C6F" w14:textId="77777777" w:rsidR="00E620DB" w:rsidRPr="00CB7597" w:rsidRDefault="00E620DB" w:rsidP="00A7558E">
            <w:pPr>
              <w:jc w:val="both"/>
            </w:pPr>
            <w:bookmarkStart w:id="0" w:name="_GoBack"/>
            <w:bookmarkEnd w:id="0"/>
            <w:r w:rsidRPr="00CB7597">
              <w:t>Title</w:t>
            </w:r>
          </w:p>
        </w:tc>
        <w:tc>
          <w:tcPr>
            <w:tcW w:w="8121" w:type="dxa"/>
          </w:tcPr>
          <w:p w14:paraId="3F3E05D6" w14:textId="4649DB98" w:rsidR="00D842C4" w:rsidRPr="00152760" w:rsidRDefault="00152760" w:rsidP="00152760">
            <w:pPr>
              <w:rPr>
                <w:b/>
                <w:bCs/>
                <w:sz w:val="24"/>
                <w:szCs w:val="24"/>
              </w:rPr>
            </w:pPr>
            <w:r>
              <w:rPr>
                <w:b/>
                <w:bCs/>
                <w:sz w:val="24"/>
                <w:szCs w:val="24"/>
              </w:rPr>
              <w:t>A</w:t>
            </w:r>
            <w:r w:rsidRPr="007C3546">
              <w:rPr>
                <w:b/>
                <w:bCs/>
                <w:sz w:val="24"/>
                <w:szCs w:val="24"/>
              </w:rPr>
              <w:t xml:space="preserve"> Co-Perfused </w:t>
            </w:r>
            <w:r>
              <w:rPr>
                <w:b/>
                <w:bCs/>
                <w:sz w:val="24"/>
                <w:szCs w:val="24"/>
              </w:rPr>
              <w:t>I</w:t>
            </w:r>
            <w:r w:rsidRPr="007C3546">
              <w:rPr>
                <w:b/>
                <w:bCs/>
                <w:sz w:val="24"/>
                <w:szCs w:val="24"/>
              </w:rPr>
              <w:t xml:space="preserve">n </w:t>
            </w:r>
            <w:r>
              <w:rPr>
                <w:b/>
                <w:bCs/>
                <w:sz w:val="24"/>
                <w:szCs w:val="24"/>
              </w:rPr>
              <w:t>V</w:t>
            </w:r>
            <w:r w:rsidRPr="007C3546">
              <w:rPr>
                <w:b/>
                <w:bCs/>
                <w:sz w:val="24"/>
                <w:szCs w:val="24"/>
              </w:rPr>
              <w:t xml:space="preserve">ivo </w:t>
            </w:r>
            <w:r>
              <w:rPr>
                <w:b/>
                <w:bCs/>
                <w:sz w:val="24"/>
                <w:szCs w:val="24"/>
              </w:rPr>
              <w:t>A</w:t>
            </w:r>
            <w:r w:rsidRPr="007C3546">
              <w:rPr>
                <w:b/>
                <w:bCs/>
                <w:sz w:val="24"/>
                <w:szCs w:val="24"/>
              </w:rPr>
              <w:t xml:space="preserve">bsorption </w:t>
            </w:r>
            <w:r>
              <w:rPr>
                <w:b/>
                <w:bCs/>
                <w:sz w:val="24"/>
                <w:szCs w:val="24"/>
              </w:rPr>
              <w:t>M</w:t>
            </w:r>
            <w:r w:rsidRPr="007C3546">
              <w:rPr>
                <w:b/>
                <w:bCs/>
                <w:sz w:val="24"/>
                <w:szCs w:val="24"/>
              </w:rPr>
              <w:t xml:space="preserve">odel to </w:t>
            </w:r>
            <w:r>
              <w:rPr>
                <w:b/>
                <w:bCs/>
                <w:sz w:val="24"/>
                <w:szCs w:val="24"/>
              </w:rPr>
              <w:t>P</w:t>
            </w:r>
            <w:r w:rsidRPr="007C3546">
              <w:rPr>
                <w:b/>
                <w:bCs/>
                <w:sz w:val="24"/>
                <w:szCs w:val="24"/>
              </w:rPr>
              <w:t>robe</w:t>
            </w:r>
            <w:r>
              <w:rPr>
                <w:b/>
                <w:bCs/>
                <w:sz w:val="24"/>
                <w:szCs w:val="24"/>
              </w:rPr>
              <w:t xml:space="preserve"> the Simultaneous Digestion and</w:t>
            </w:r>
            <w:r w:rsidRPr="007C3546">
              <w:rPr>
                <w:b/>
                <w:bCs/>
                <w:sz w:val="24"/>
                <w:szCs w:val="24"/>
              </w:rPr>
              <w:t xml:space="preserve"> </w:t>
            </w:r>
            <w:r>
              <w:rPr>
                <w:b/>
                <w:bCs/>
                <w:sz w:val="24"/>
                <w:szCs w:val="24"/>
              </w:rPr>
              <w:t>D</w:t>
            </w:r>
            <w:r w:rsidRPr="007C3546">
              <w:rPr>
                <w:b/>
                <w:bCs/>
                <w:sz w:val="24"/>
                <w:szCs w:val="24"/>
              </w:rPr>
              <w:t xml:space="preserve">rug </w:t>
            </w:r>
            <w:r>
              <w:rPr>
                <w:b/>
                <w:bCs/>
                <w:sz w:val="24"/>
                <w:szCs w:val="24"/>
              </w:rPr>
              <w:t>A</w:t>
            </w:r>
            <w:r w:rsidRPr="007C3546">
              <w:rPr>
                <w:b/>
                <w:bCs/>
                <w:sz w:val="24"/>
                <w:szCs w:val="24"/>
              </w:rPr>
              <w:t>bsorption</w:t>
            </w:r>
            <w:r>
              <w:rPr>
                <w:b/>
                <w:bCs/>
                <w:sz w:val="24"/>
                <w:szCs w:val="24"/>
              </w:rPr>
              <w:t xml:space="preserve"> process</w:t>
            </w:r>
            <w:r w:rsidRPr="007C3546">
              <w:rPr>
                <w:b/>
                <w:bCs/>
                <w:sz w:val="24"/>
                <w:szCs w:val="24"/>
              </w:rPr>
              <w:t xml:space="preserve"> from </w:t>
            </w:r>
            <w:r>
              <w:rPr>
                <w:b/>
                <w:bCs/>
                <w:sz w:val="24"/>
                <w:szCs w:val="24"/>
              </w:rPr>
              <w:t>L</w:t>
            </w:r>
            <w:r w:rsidRPr="007C3546">
              <w:rPr>
                <w:b/>
                <w:bCs/>
                <w:sz w:val="24"/>
                <w:szCs w:val="24"/>
              </w:rPr>
              <w:t>ipid-</w:t>
            </w:r>
            <w:r>
              <w:rPr>
                <w:b/>
                <w:bCs/>
                <w:sz w:val="24"/>
                <w:szCs w:val="24"/>
              </w:rPr>
              <w:t>B</w:t>
            </w:r>
            <w:r w:rsidRPr="007C3546">
              <w:rPr>
                <w:b/>
                <w:bCs/>
                <w:sz w:val="24"/>
                <w:szCs w:val="24"/>
              </w:rPr>
              <w:t xml:space="preserve">ased </w:t>
            </w:r>
            <w:r>
              <w:rPr>
                <w:b/>
                <w:bCs/>
                <w:sz w:val="24"/>
                <w:szCs w:val="24"/>
              </w:rPr>
              <w:t>F</w:t>
            </w:r>
            <w:r w:rsidRPr="007C3546">
              <w:rPr>
                <w:b/>
                <w:bCs/>
                <w:sz w:val="24"/>
                <w:szCs w:val="24"/>
              </w:rPr>
              <w:t>ormulations</w:t>
            </w:r>
          </w:p>
        </w:tc>
      </w:tr>
      <w:tr w:rsidR="00E620DB" w14:paraId="78A1354F" w14:textId="77777777" w:rsidTr="00152760">
        <w:tc>
          <w:tcPr>
            <w:tcW w:w="1372" w:type="dxa"/>
          </w:tcPr>
          <w:p w14:paraId="501B846C" w14:textId="2A363F9D" w:rsidR="00E620DB" w:rsidRPr="00CB7597" w:rsidRDefault="00E620DB" w:rsidP="00A7558E">
            <w:pPr>
              <w:jc w:val="both"/>
            </w:pPr>
            <w:r w:rsidRPr="00CB7597">
              <w:t>Keywords</w:t>
            </w:r>
            <w:r w:rsidR="000349A3">
              <w:t xml:space="preserve"> (up to 5)</w:t>
            </w:r>
          </w:p>
        </w:tc>
        <w:tc>
          <w:tcPr>
            <w:tcW w:w="8121" w:type="dxa"/>
          </w:tcPr>
          <w:p w14:paraId="4AB40E9B" w14:textId="090D720D" w:rsidR="00E620DB" w:rsidRPr="00E620DB" w:rsidRDefault="00166EFB" w:rsidP="00A7558E">
            <w:pPr>
              <w:jc w:val="both"/>
            </w:pPr>
            <w:r>
              <w:t>Drug absorption, in vitro-in vivo correlation, poorly water-soluble drugs, lipid-based formulations</w:t>
            </w:r>
          </w:p>
        </w:tc>
      </w:tr>
      <w:tr w:rsidR="00E620DB" w14:paraId="0B004C6E" w14:textId="77777777" w:rsidTr="00152760">
        <w:tc>
          <w:tcPr>
            <w:tcW w:w="1372" w:type="dxa"/>
          </w:tcPr>
          <w:p w14:paraId="5B871235" w14:textId="77777777" w:rsidR="00E620DB" w:rsidRPr="00CB7597" w:rsidRDefault="00E054C1" w:rsidP="00A7558E">
            <w:pPr>
              <w:jc w:val="both"/>
            </w:pPr>
            <w:r w:rsidRPr="00CB7597">
              <w:t>Authors</w:t>
            </w:r>
          </w:p>
        </w:tc>
        <w:tc>
          <w:tcPr>
            <w:tcW w:w="8121" w:type="dxa"/>
          </w:tcPr>
          <w:p w14:paraId="370B2C3E" w14:textId="09BE8E67" w:rsidR="00D842C4" w:rsidRPr="00152760" w:rsidRDefault="00152760" w:rsidP="00152760">
            <w:pPr>
              <w:rPr>
                <w:lang w:val="en-AU"/>
              </w:rPr>
            </w:pPr>
            <w:r>
              <w:rPr>
                <w:lang w:val="en-AU"/>
              </w:rPr>
              <w:t>Estelle J.A. SUYS</w:t>
            </w:r>
            <w:r w:rsidRPr="00B22F6A">
              <w:rPr>
                <w:rFonts w:asciiTheme="majorHAnsi" w:hAnsiTheme="majorHAnsi"/>
                <w:vertAlign w:val="superscript"/>
              </w:rPr>
              <w:t>1</w:t>
            </w:r>
            <w:r w:rsidRPr="00B22F6A">
              <w:rPr>
                <w:rFonts w:asciiTheme="majorHAnsi" w:eastAsia="Batang" w:hAnsiTheme="majorHAnsi"/>
                <w:vertAlign w:val="superscript"/>
                <w:lang w:eastAsia="ko-KR"/>
              </w:rPr>
              <w:t>,2</w:t>
            </w:r>
            <w:r w:rsidRPr="00152760">
              <w:rPr>
                <w:rFonts w:asciiTheme="majorHAnsi" w:eastAsia="Batang" w:hAnsiTheme="majorHAnsi"/>
                <w:lang w:eastAsia="ko-KR"/>
              </w:rPr>
              <w:t>,</w:t>
            </w:r>
            <w:r>
              <w:rPr>
                <w:rFonts w:asciiTheme="majorHAnsi" w:eastAsia="Batang" w:hAnsiTheme="majorHAnsi"/>
                <w:vertAlign w:val="superscript"/>
                <w:lang w:eastAsia="ko-KR"/>
              </w:rPr>
              <w:t xml:space="preserve"> </w:t>
            </w:r>
            <w:r w:rsidRPr="00152760">
              <w:rPr>
                <w:rFonts w:eastAsia="Batang"/>
                <w:lang w:eastAsia="ko-KR"/>
              </w:rPr>
              <w:t>David K. C</w:t>
            </w:r>
            <w:r>
              <w:rPr>
                <w:rFonts w:eastAsia="Batang"/>
                <w:lang w:eastAsia="ko-KR"/>
              </w:rPr>
              <w:t>HALMERS</w:t>
            </w:r>
            <w:r w:rsidRPr="00152760">
              <w:rPr>
                <w:vertAlign w:val="superscript"/>
              </w:rPr>
              <w:t>3</w:t>
            </w:r>
            <w:r w:rsidRPr="00152760">
              <w:t xml:space="preserve">, </w:t>
            </w:r>
            <w:r w:rsidRPr="00152760">
              <w:rPr>
                <w:rFonts w:eastAsia="Batang"/>
                <w:lang w:eastAsia="ko-KR"/>
              </w:rPr>
              <w:t>Colin W. P</w:t>
            </w:r>
            <w:r>
              <w:rPr>
                <w:rFonts w:eastAsia="Batang"/>
                <w:lang w:eastAsia="ko-KR"/>
              </w:rPr>
              <w:t>OUTON</w:t>
            </w:r>
            <w:r>
              <w:rPr>
                <w:rFonts w:eastAsia="Batang"/>
                <w:vertAlign w:val="superscript"/>
                <w:lang w:eastAsia="ko-KR"/>
              </w:rPr>
              <w:t>1</w:t>
            </w:r>
            <w:r>
              <w:rPr>
                <w:rFonts w:eastAsia="Batang"/>
                <w:lang w:eastAsia="ko-KR"/>
              </w:rPr>
              <w:t xml:space="preserve">, </w:t>
            </w:r>
            <w:r w:rsidRPr="00152760">
              <w:rPr>
                <w:rFonts w:eastAsia="Batang"/>
                <w:lang w:eastAsia="ko-KR"/>
              </w:rPr>
              <w:t>Christopher J.H. P</w:t>
            </w:r>
            <w:r>
              <w:rPr>
                <w:rFonts w:eastAsia="Batang"/>
                <w:lang w:eastAsia="ko-KR"/>
              </w:rPr>
              <w:t>ORTER</w:t>
            </w:r>
            <w:r w:rsidRPr="00152760">
              <w:rPr>
                <w:vertAlign w:val="superscript"/>
              </w:rPr>
              <w:t>1</w:t>
            </w:r>
            <w:r w:rsidRPr="00152760">
              <w:rPr>
                <w:rFonts w:eastAsia="Batang"/>
                <w:vertAlign w:val="superscript"/>
                <w:lang w:eastAsia="ko-KR"/>
              </w:rPr>
              <w:t>,2</w:t>
            </w:r>
          </w:p>
          <w:p w14:paraId="42AD162C" w14:textId="77777777" w:rsidR="00152760" w:rsidRDefault="00152760" w:rsidP="00152760">
            <w:pPr>
              <w:pStyle w:val="NoSpacing"/>
              <w:jc w:val="both"/>
              <w:rPr>
                <w:rFonts w:asciiTheme="minorHAnsi" w:eastAsia="Batang" w:hAnsiTheme="minorHAnsi"/>
                <w:vertAlign w:val="superscript"/>
                <w:lang w:eastAsia="ko-KR"/>
              </w:rPr>
            </w:pPr>
          </w:p>
          <w:p w14:paraId="511CE589" w14:textId="77777777" w:rsidR="00152760" w:rsidRDefault="00152760" w:rsidP="00152760">
            <w:pPr>
              <w:snapToGrid w:val="0"/>
              <w:ind w:left="2" w:right="-54"/>
              <w:rPr>
                <w:rFonts w:asciiTheme="majorHAnsi" w:eastAsia="Batang" w:hAnsiTheme="majorHAnsi"/>
                <w:i/>
                <w:iCs/>
              </w:rPr>
            </w:pPr>
            <w:r w:rsidRPr="00B22F6A">
              <w:rPr>
                <w:rFonts w:asciiTheme="majorHAnsi" w:hAnsiTheme="majorHAnsi"/>
                <w:i/>
                <w:iCs/>
                <w:vertAlign w:val="superscript"/>
              </w:rPr>
              <w:t>1</w:t>
            </w:r>
            <w:r w:rsidRPr="00B22F6A">
              <w:rPr>
                <w:rFonts w:asciiTheme="majorHAnsi" w:eastAsia="Batang" w:hAnsiTheme="majorHAnsi"/>
                <w:i/>
                <w:iCs/>
              </w:rPr>
              <w:t>Drug Delivery, Disposition and Dynamics</w:t>
            </w:r>
          </w:p>
          <w:p w14:paraId="32323C03" w14:textId="77777777" w:rsidR="00152760" w:rsidRDefault="00152760" w:rsidP="00152760">
            <w:pPr>
              <w:snapToGrid w:val="0"/>
              <w:ind w:left="2" w:right="-54"/>
              <w:rPr>
                <w:rFonts w:asciiTheme="majorHAnsi" w:eastAsia="Batang" w:hAnsiTheme="majorHAnsi"/>
                <w:i/>
                <w:iCs/>
              </w:rPr>
            </w:pPr>
            <w:r w:rsidRPr="00B22F6A">
              <w:rPr>
                <w:rFonts w:asciiTheme="majorHAnsi" w:hAnsiTheme="majorHAnsi"/>
                <w:i/>
                <w:iCs/>
                <w:vertAlign w:val="superscript"/>
              </w:rPr>
              <w:t xml:space="preserve"> 2</w:t>
            </w:r>
            <w:r w:rsidRPr="00B22F6A">
              <w:rPr>
                <w:rFonts w:asciiTheme="majorHAnsi" w:eastAsia="Batang" w:hAnsiTheme="majorHAnsi"/>
                <w:i/>
                <w:iCs/>
              </w:rPr>
              <w:t>ARC Centre of Excellence in Convergent Bio-Nano Science and Technology</w:t>
            </w:r>
          </w:p>
          <w:p w14:paraId="67D2547E" w14:textId="5D7127B8" w:rsidR="00152760" w:rsidRPr="00B51793" w:rsidRDefault="00152760" w:rsidP="00B51793">
            <w:pPr>
              <w:snapToGrid w:val="0"/>
              <w:spacing w:after="160"/>
              <w:ind w:left="2" w:right="-54"/>
              <w:rPr>
                <w:rFonts w:asciiTheme="majorHAnsi" w:eastAsia="Batang" w:hAnsiTheme="majorHAnsi"/>
                <w:i/>
                <w:iCs/>
              </w:rPr>
            </w:pPr>
            <w:r w:rsidRPr="00B22F6A">
              <w:rPr>
                <w:rFonts w:asciiTheme="majorHAnsi" w:eastAsia="Batang" w:hAnsiTheme="majorHAnsi"/>
                <w:i/>
                <w:iCs/>
              </w:rPr>
              <w:t xml:space="preserve"> </w:t>
            </w:r>
            <w:r w:rsidRPr="00B22F6A">
              <w:rPr>
                <w:rFonts w:asciiTheme="majorHAnsi" w:hAnsiTheme="majorHAnsi"/>
                <w:i/>
                <w:iCs/>
                <w:vertAlign w:val="superscript"/>
              </w:rPr>
              <w:t>3</w:t>
            </w:r>
            <w:r w:rsidRPr="00B22F6A">
              <w:rPr>
                <w:rFonts w:asciiTheme="majorHAnsi" w:hAnsiTheme="majorHAnsi"/>
                <w:i/>
                <w:iCs/>
              </w:rPr>
              <w:t>Medicinal Chemistry,</w:t>
            </w:r>
            <w:r w:rsidRPr="00B22F6A">
              <w:rPr>
                <w:rFonts w:asciiTheme="majorHAnsi" w:eastAsia="Batang" w:hAnsiTheme="majorHAnsi"/>
                <w:i/>
                <w:iCs/>
              </w:rPr>
              <w:t xml:space="preserve"> Monash Institute of Pharmaceutical Sciences, Monash University, VIC 3052, Australia</w:t>
            </w:r>
          </w:p>
        </w:tc>
      </w:tr>
      <w:tr w:rsidR="00E620DB" w14:paraId="7581BD97" w14:textId="77777777" w:rsidTr="00152760">
        <w:tc>
          <w:tcPr>
            <w:tcW w:w="1372" w:type="dxa"/>
          </w:tcPr>
          <w:p w14:paraId="58292372" w14:textId="4B67598D" w:rsidR="0039065E" w:rsidRPr="00CB7597" w:rsidRDefault="0039065E" w:rsidP="00A7558E">
            <w:pPr>
              <w:jc w:val="both"/>
            </w:pPr>
            <w:r w:rsidRPr="00CB7597">
              <w:t>Abstract</w:t>
            </w:r>
          </w:p>
        </w:tc>
        <w:tc>
          <w:tcPr>
            <w:tcW w:w="8121" w:type="dxa"/>
          </w:tcPr>
          <w:p w14:paraId="3E042A3D" w14:textId="2E08B680" w:rsidR="008201C3" w:rsidRDefault="008201C3" w:rsidP="008201C3">
            <w:r w:rsidRPr="00FA4504">
              <w:t>After oral dosing, a cascade of events in the gastro-intestinal (GI) tract alters the solubilizing capacity of LBFs, often resulting in supersaturation and subsequent drug absorption.</w:t>
            </w:r>
            <w:r w:rsidR="007F5867" w:rsidRPr="007F5867">
              <w:rPr>
                <w:vertAlign w:val="superscript"/>
              </w:rPr>
              <w:t>1</w:t>
            </w:r>
            <w:r w:rsidRPr="00F656B9">
              <w:t xml:space="preserve"> </w:t>
            </w:r>
            <w:r w:rsidRPr="00DC0838">
              <w:t>Drug flux, total absorption and oral bioavailability across the intestinal membrane may be influenced by a delay in digestion perfusate reaching the intestinal segment.</w:t>
            </w:r>
            <w:r>
              <w:t xml:space="preserve"> </w:t>
            </w:r>
            <w:r w:rsidRPr="00F656B9">
              <w:t>The current project is</w:t>
            </w:r>
            <w:r>
              <w:t xml:space="preserve"> therefore</w:t>
            </w:r>
            <w:r w:rsidRPr="00F656B9">
              <w:t xml:space="preserve"> exploring the solubility-</w:t>
            </w:r>
            <w:r>
              <w:t>digestion</w:t>
            </w:r>
            <w:r w:rsidRPr="00F656B9">
              <w:t xml:space="preserve">-absorption </w:t>
            </w:r>
            <w:r>
              <w:t>relationship</w:t>
            </w:r>
            <w:r w:rsidRPr="00F656B9">
              <w:t xml:space="preserve"> </w:t>
            </w:r>
            <w:r>
              <w:t>using PWSDs in LBFs when initiating digestion at the site of absorption in the small intestine</w:t>
            </w:r>
            <w:r w:rsidRPr="00F656B9">
              <w:t xml:space="preserve">. This </w:t>
            </w:r>
            <w:r>
              <w:t xml:space="preserve">has been examined using an experimental model that combines a traditional </w:t>
            </w:r>
            <w:r w:rsidRPr="00117202">
              <w:rPr>
                <w:i/>
                <w:iCs/>
              </w:rPr>
              <w:t>in vitro</w:t>
            </w:r>
            <w:r>
              <w:t xml:space="preserve"> digestion experiment with </w:t>
            </w:r>
            <w:r w:rsidRPr="000128EA">
              <w:rPr>
                <w:i/>
                <w:iCs/>
              </w:rPr>
              <w:t>in situ</w:t>
            </w:r>
            <w:r>
              <w:t xml:space="preserve"> intestinal permeability measurements to provide for ‘real time’ assessment of the absorptive drug flux. </w:t>
            </w:r>
          </w:p>
          <w:p w14:paraId="40D528B2" w14:textId="77777777" w:rsidR="008201C3" w:rsidRPr="005D1ACC" w:rsidRDefault="008201C3" w:rsidP="008201C3"/>
          <w:p w14:paraId="4C8719E4" w14:textId="10C39090" w:rsidR="008201C3" w:rsidRDefault="008201C3" w:rsidP="007F5867">
            <w:r>
              <w:rPr>
                <w:lang w:val="en-AU"/>
              </w:rPr>
              <w:t>T</w:t>
            </w:r>
            <w:r w:rsidRPr="005D1ACC">
              <w:t xml:space="preserve">he utility of an </w:t>
            </w:r>
            <w:r w:rsidRPr="0072275D">
              <w:rPr>
                <w:i/>
                <w:iCs/>
              </w:rPr>
              <w:t>in vivo</w:t>
            </w:r>
            <w:r w:rsidRPr="005D1ACC">
              <w:t xml:space="preserve"> ‘co-perfused enzyme and dispersed formulation model’</w:t>
            </w:r>
            <w:r>
              <w:t xml:space="preserve"> </w:t>
            </w:r>
            <w:r w:rsidRPr="008201C3">
              <w:t>to approximate digestion at the site of absorption is evaluated to reduce lag time</w:t>
            </w:r>
            <w:r>
              <w:t xml:space="preserve"> between formulation digestion</w:t>
            </w:r>
            <w:r w:rsidRPr="005D1ACC">
              <w:t xml:space="preserve"> and </w:t>
            </w:r>
            <w:r>
              <w:t xml:space="preserve">thereby reducing the drug </w:t>
            </w:r>
            <w:r w:rsidRPr="005D1ACC">
              <w:t>precipitation potential</w:t>
            </w:r>
            <w:r>
              <w:t>. Drug flux patterns</w:t>
            </w:r>
            <w:r w:rsidR="007F5867">
              <w:t xml:space="preserve"> of fenofibrate and saquinavir</w:t>
            </w:r>
            <w:r>
              <w:t xml:space="preserve"> obtained with this model are compared with the results from the linear perfusion, in which formulation digestion is initiated in the </w:t>
            </w:r>
            <w:r w:rsidRPr="00AA666B">
              <w:rPr>
                <w:i/>
                <w:iCs/>
              </w:rPr>
              <w:t>in vitro</w:t>
            </w:r>
            <w:r>
              <w:t xml:space="preserve"> vessel.</w:t>
            </w:r>
          </w:p>
          <w:p w14:paraId="614E9F0E" w14:textId="77777777" w:rsidR="008201C3" w:rsidRDefault="008201C3" w:rsidP="008201C3">
            <w:pPr>
              <w:rPr>
                <w:lang w:val="en-AU"/>
              </w:rPr>
            </w:pPr>
          </w:p>
          <w:p w14:paraId="75F928E0" w14:textId="6169F8B1" w:rsidR="008201C3" w:rsidRPr="00EF6201" w:rsidRDefault="008201C3" w:rsidP="008201C3">
            <w:pPr>
              <w:rPr>
                <w:lang w:val="en-AU"/>
              </w:rPr>
            </w:pPr>
            <w:r>
              <w:rPr>
                <w:lang w:val="en-AU"/>
              </w:rPr>
              <w:t xml:space="preserve">Co-perfusion of bile with a Type IV drug solution of loaded at 85% fenofibrate saturation led to a 3-fold increase in drug flux compared to the linear perfusion. Various parameters were investigated that might have led to this observed difference, such as the dilution by bile (low conc.), slower flow rate, etc. Each parameter tested contributed to a significant higher drug transport across the intestinal wall, with the dilution effect by bile leading to the largest </w:t>
            </w:r>
            <w:r w:rsidR="007F5867">
              <w:rPr>
                <w:lang w:val="en-AU"/>
              </w:rPr>
              <w:t>difference</w:t>
            </w:r>
            <w:r w:rsidRPr="008201C3">
              <w:rPr>
                <w:lang w:val="en-AU"/>
              </w:rPr>
              <w:t>.</w:t>
            </w:r>
          </w:p>
          <w:p w14:paraId="4905099D" w14:textId="77777777" w:rsidR="008201C3" w:rsidRDefault="008201C3" w:rsidP="008201C3">
            <w:pPr>
              <w:pStyle w:val="BodyTextIndent"/>
              <w:ind w:left="0"/>
              <w:rPr>
                <w:b/>
                <w:bCs/>
                <w:lang w:val="en-AU"/>
              </w:rPr>
            </w:pPr>
          </w:p>
          <w:p w14:paraId="6B8F5A22" w14:textId="4AFF93AD" w:rsidR="00D842C4" w:rsidRPr="00E620DB" w:rsidRDefault="008201C3" w:rsidP="009A4ACB">
            <w:pPr>
              <w:pStyle w:val="BodyTextIndent"/>
              <w:ind w:left="0"/>
            </w:pPr>
            <w:r w:rsidRPr="00324CF7">
              <w:rPr>
                <w:lang w:val="en-AU"/>
              </w:rPr>
              <w:t xml:space="preserve">This work demonstrates the utility of the </w:t>
            </w:r>
            <w:r>
              <w:rPr>
                <w:lang w:val="en-AU"/>
              </w:rPr>
              <w:t>co-perfused</w:t>
            </w:r>
            <w:r w:rsidRPr="00324CF7">
              <w:rPr>
                <w:lang w:val="en-AU"/>
              </w:rPr>
              <w:t xml:space="preserve"> absorption model in developing a better understanding of drug absorption </w:t>
            </w:r>
            <w:r>
              <w:rPr>
                <w:lang w:val="en-AU"/>
              </w:rPr>
              <w:t>upon concurrent LBF digestion</w:t>
            </w:r>
            <w:r w:rsidRPr="00324CF7">
              <w:rPr>
                <w:lang w:val="en-AU"/>
              </w:rPr>
              <w:t>. The data suggest that</w:t>
            </w:r>
            <w:r>
              <w:rPr>
                <w:lang w:val="en-AU"/>
              </w:rPr>
              <w:t xml:space="preserve"> drug flux might be underestimated when using non-physiological parameters and when introducing an artificial lag-time between formulation digestion and drug absorption.</w:t>
            </w:r>
          </w:p>
        </w:tc>
      </w:tr>
      <w:tr w:rsidR="00E940ED" w14:paraId="1293BC11" w14:textId="77777777" w:rsidTr="00152760">
        <w:tc>
          <w:tcPr>
            <w:tcW w:w="1372" w:type="dxa"/>
          </w:tcPr>
          <w:p w14:paraId="572E0F5D" w14:textId="1E127636" w:rsidR="00E940ED" w:rsidRPr="00CB7597" w:rsidRDefault="00E940ED" w:rsidP="00A7558E">
            <w:pPr>
              <w:jc w:val="both"/>
            </w:pPr>
            <w:r>
              <w:t>References</w:t>
            </w:r>
          </w:p>
        </w:tc>
        <w:tc>
          <w:tcPr>
            <w:tcW w:w="8121" w:type="dxa"/>
          </w:tcPr>
          <w:p w14:paraId="1D103A27" w14:textId="0CDB0FF3" w:rsidR="006276BB" w:rsidRPr="004A60A4" w:rsidRDefault="00152760" w:rsidP="009A4ACB">
            <w:pPr>
              <w:pStyle w:val="EndNoteBibliography"/>
              <w:numPr>
                <w:ilvl w:val="0"/>
                <w:numId w:val="3"/>
              </w:numPr>
              <w:ind w:left="358"/>
            </w:pPr>
            <w:r w:rsidRPr="00324CF7">
              <w:t xml:space="preserve">Porter, C. J.; Trevaskis, N. L.; Charman, W. N. Lipids and lipid-based formulations: optimizing the oral delivery of lipophilic drugs. </w:t>
            </w:r>
            <w:r w:rsidRPr="00324CF7">
              <w:rPr>
                <w:i/>
              </w:rPr>
              <w:t xml:space="preserve">Nature reviews. Drug discovery </w:t>
            </w:r>
            <w:r w:rsidRPr="00324CF7">
              <w:rPr>
                <w:b/>
              </w:rPr>
              <w:t>2007,</w:t>
            </w:r>
            <w:r w:rsidRPr="00324CF7">
              <w:t xml:space="preserve"> </w:t>
            </w:r>
            <w:r w:rsidRPr="00324CF7">
              <w:rPr>
                <w:i/>
              </w:rPr>
              <w:t>6</w:t>
            </w:r>
            <w:r w:rsidRPr="00324CF7">
              <w:t xml:space="preserve"> (3), 231-48.</w:t>
            </w:r>
          </w:p>
        </w:tc>
      </w:tr>
    </w:tbl>
    <w:p w14:paraId="5501C404" w14:textId="3C926EA0" w:rsidR="000B6E39" w:rsidRPr="00D6109B" w:rsidRDefault="000B6E39" w:rsidP="0006409B">
      <w:pPr>
        <w:spacing w:line="240" w:lineRule="auto"/>
      </w:pPr>
    </w:p>
    <w:sectPr w:rsidR="000B6E39" w:rsidRPr="00D610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4F35" w14:textId="77777777" w:rsidR="00C462DC" w:rsidRDefault="00C462DC" w:rsidP="00291046">
      <w:pPr>
        <w:spacing w:after="0" w:line="240" w:lineRule="auto"/>
      </w:pPr>
      <w:r>
        <w:separator/>
      </w:r>
    </w:p>
  </w:endnote>
  <w:endnote w:type="continuationSeparator" w:id="0">
    <w:p w14:paraId="2EAC8354" w14:textId="77777777" w:rsidR="00C462DC" w:rsidRDefault="00C462DC" w:rsidP="0029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0000000000000000000"/>
    <w:charset w:val="86"/>
    <w:family w:val="roman"/>
    <w:notTrueType/>
    <w:pitch w:val="default"/>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9335E" w14:textId="77777777" w:rsidR="00C462DC" w:rsidRDefault="00C462DC" w:rsidP="00291046">
      <w:pPr>
        <w:spacing w:after="0" w:line="240" w:lineRule="auto"/>
      </w:pPr>
      <w:r>
        <w:separator/>
      </w:r>
    </w:p>
  </w:footnote>
  <w:footnote w:type="continuationSeparator" w:id="0">
    <w:p w14:paraId="66EDAC69" w14:textId="77777777" w:rsidR="00C462DC" w:rsidRDefault="00C462DC" w:rsidP="00291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33C"/>
    <w:multiLevelType w:val="hybridMultilevel"/>
    <w:tmpl w:val="6F208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A256E5"/>
    <w:multiLevelType w:val="hybridMultilevel"/>
    <w:tmpl w:val="6D2C9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090783"/>
    <w:multiLevelType w:val="hybridMultilevel"/>
    <w:tmpl w:val="C1E6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5D"/>
    <w:rsid w:val="0000118B"/>
    <w:rsid w:val="00011236"/>
    <w:rsid w:val="00013418"/>
    <w:rsid w:val="0001757E"/>
    <w:rsid w:val="00031A1B"/>
    <w:rsid w:val="000349A3"/>
    <w:rsid w:val="00040CCB"/>
    <w:rsid w:val="0005068B"/>
    <w:rsid w:val="00060139"/>
    <w:rsid w:val="0006409B"/>
    <w:rsid w:val="00065283"/>
    <w:rsid w:val="00066BDF"/>
    <w:rsid w:val="0007195F"/>
    <w:rsid w:val="000756BB"/>
    <w:rsid w:val="000804D9"/>
    <w:rsid w:val="0009225D"/>
    <w:rsid w:val="000970F2"/>
    <w:rsid w:val="000A0CDB"/>
    <w:rsid w:val="000A3F81"/>
    <w:rsid w:val="000B2E71"/>
    <w:rsid w:val="000B6E39"/>
    <w:rsid w:val="000C4506"/>
    <w:rsid w:val="000D4419"/>
    <w:rsid w:val="000E66B9"/>
    <w:rsid w:val="000F377F"/>
    <w:rsid w:val="00103A0B"/>
    <w:rsid w:val="0011473E"/>
    <w:rsid w:val="001149EB"/>
    <w:rsid w:val="001155F1"/>
    <w:rsid w:val="0012171D"/>
    <w:rsid w:val="001325C4"/>
    <w:rsid w:val="00132724"/>
    <w:rsid w:val="00134E5E"/>
    <w:rsid w:val="00152760"/>
    <w:rsid w:val="00156CDD"/>
    <w:rsid w:val="0016286C"/>
    <w:rsid w:val="00163EBB"/>
    <w:rsid w:val="00163F4E"/>
    <w:rsid w:val="00166723"/>
    <w:rsid w:val="00166EFB"/>
    <w:rsid w:val="00167009"/>
    <w:rsid w:val="001862F9"/>
    <w:rsid w:val="001919C0"/>
    <w:rsid w:val="001A5B33"/>
    <w:rsid w:val="001B5C45"/>
    <w:rsid w:val="001C0F75"/>
    <w:rsid w:val="001C1B0B"/>
    <w:rsid w:val="001C5B1E"/>
    <w:rsid w:val="001C7E67"/>
    <w:rsid w:val="001D1EE0"/>
    <w:rsid w:val="001D2553"/>
    <w:rsid w:val="001D2660"/>
    <w:rsid w:val="001E65B5"/>
    <w:rsid w:val="001E748C"/>
    <w:rsid w:val="001F4ABA"/>
    <w:rsid w:val="0022061C"/>
    <w:rsid w:val="00225F45"/>
    <w:rsid w:val="00226AC5"/>
    <w:rsid w:val="00241661"/>
    <w:rsid w:val="002453C1"/>
    <w:rsid w:val="00246C54"/>
    <w:rsid w:val="00260074"/>
    <w:rsid w:val="00262ACE"/>
    <w:rsid w:val="002766AA"/>
    <w:rsid w:val="00291046"/>
    <w:rsid w:val="0029704C"/>
    <w:rsid w:val="002A342A"/>
    <w:rsid w:val="002A3FE3"/>
    <w:rsid w:val="002A428C"/>
    <w:rsid w:val="002B665C"/>
    <w:rsid w:val="002B7A72"/>
    <w:rsid w:val="002C2A28"/>
    <w:rsid w:val="002C54B7"/>
    <w:rsid w:val="002E53DE"/>
    <w:rsid w:val="002F1704"/>
    <w:rsid w:val="002F55AC"/>
    <w:rsid w:val="00300E1C"/>
    <w:rsid w:val="003041FC"/>
    <w:rsid w:val="00313D99"/>
    <w:rsid w:val="0033217A"/>
    <w:rsid w:val="00333E7A"/>
    <w:rsid w:val="00335B4A"/>
    <w:rsid w:val="00342A45"/>
    <w:rsid w:val="00354642"/>
    <w:rsid w:val="003605A6"/>
    <w:rsid w:val="0036180B"/>
    <w:rsid w:val="003649CE"/>
    <w:rsid w:val="00372497"/>
    <w:rsid w:val="0037748C"/>
    <w:rsid w:val="0039065E"/>
    <w:rsid w:val="003B4076"/>
    <w:rsid w:val="003B77B5"/>
    <w:rsid w:val="003C47A4"/>
    <w:rsid w:val="003C5B15"/>
    <w:rsid w:val="003C665F"/>
    <w:rsid w:val="003C6687"/>
    <w:rsid w:val="003D3A48"/>
    <w:rsid w:val="003D53C3"/>
    <w:rsid w:val="003E3E67"/>
    <w:rsid w:val="003E5FC2"/>
    <w:rsid w:val="003F2CBC"/>
    <w:rsid w:val="003F3F85"/>
    <w:rsid w:val="003F6805"/>
    <w:rsid w:val="004041D5"/>
    <w:rsid w:val="004047CD"/>
    <w:rsid w:val="004225DB"/>
    <w:rsid w:val="00450A14"/>
    <w:rsid w:val="00451D0E"/>
    <w:rsid w:val="004544AA"/>
    <w:rsid w:val="0045564C"/>
    <w:rsid w:val="00456159"/>
    <w:rsid w:val="00472DE6"/>
    <w:rsid w:val="00475F8A"/>
    <w:rsid w:val="00491B2A"/>
    <w:rsid w:val="004A3B55"/>
    <w:rsid w:val="004A60A4"/>
    <w:rsid w:val="004B3686"/>
    <w:rsid w:val="004D3B97"/>
    <w:rsid w:val="004D796E"/>
    <w:rsid w:val="004E5C04"/>
    <w:rsid w:val="004F2C2B"/>
    <w:rsid w:val="004F7D20"/>
    <w:rsid w:val="00504D27"/>
    <w:rsid w:val="00506268"/>
    <w:rsid w:val="0052339D"/>
    <w:rsid w:val="00530CB7"/>
    <w:rsid w:val="00554DE6"/>
    <w:rsid w:val="00584211"/>
    <w:rsid w:val="0059022E"/>
    <w:rsid w:val="005927FC"/>
    <w:rsid w:val="0059371A"/>
    <w:rsid w:val="005B72D6"/>
    <w:rsid w:val="005C2CBB"/>
    <w:rsid w:val="005C687F"/>
    <w:rsid w:val="005D3097"/>
    <w:rsid w:val="005D4BE5"/>
    <w:rsid w:val="005E7EE5"/>
    <w:rsid w:val="00602211"/>
    <w:rsid w:val="00604741"/>
    <w:rsid w:val="00615E70"/>
    <w:rsid w:val="00621395"/>
    <w:rsid w:val="006276BB"/>
    <w:rsid w:val="006355B1"/>
    <w:rsid w:val="00645117"/>
    <w:rsid w:val="0066002D"/>
    <w:rsid w:val="00666937"/>
    <w:rsid w:val="006742A5"/>
    <w:rsid w:val="006915EA"/>
    <w:rsid w:val="00695F8A"/>
    <w:rsid w:val="00697712"/>
    <w:rsid w:val="006A42C5"/>
    <w:rsid w:val="006A612C"/>
    <w:rsid w:val="006B0A43"/>
    <w:rsid w:val="006E0974"/>
    <w:rsid w:val="006E13F5"/>
    <w:rsid w:val="006F05C4"/>
    <w:rsid w:val="006F20CE"/>
    <w:rsid w:val="006F5A86"/>
    <w:rsid w:val="00702A70"/>
    <w:rsid w:val="00706901"/>
    <w:rsid w:val="00713449"/>
    <w:rsid w:val="007145A6"/>
    <w:rsid w:val="00715E8D"/>
    <w:rsid w:val="00723C0F"/>
    <w:rsid w:val="00726FEE"/>
    <w:rsid w:val="00731A25"/>
    <w:rsid w:val="0073649C"/>
    <w:rsid w:val="0074134F"/>
    <w:rsid w:val="00741E4F"/>
    <w:rsid w:val="00750A7D"/>
    <w:rsid w:val="0075659A"/>
    <w:rsid w:val="007615B8"/>
    <w:rsid w:val="00765836"/>
    <w:rsid w:val="00771880"/>
    <w:rsid w:val="00772111"/>
    <w:rsid w:val="00785C5A"/>
    <w:rsid w:val="007921E5"/>
    <w:rsid w:val="007B021F"/>
    <w:rsid w:val="007D0A65"/>
    <w:rsid w:val="007D751A"/>
    <w:rsid w:val="007E3C53"/>
    <w:rsid w:val="007F5867"/>
    <w:rsid w:val="00801159"/>
    <w:rsid w:val="008160A1"/>
    <w:rsid w:val="00817762"/>
    <w:rsid w:val="008201C3"/>
    <w:rsid w:val="008206F0"/>
    <w:rsid w:val="00822794"/>
    <w:rsid w:val="0083053C"/>
    <w:rsid w:val="0083285E"/>
    <w:rsid w:val="008447D1"/>
    <w:rsid w:val="008528E5"/>
    <w:rsid w:val="008529B3"/>
    <w:rsid w:val="008560E5"/>
    <w:rsid w:val="00864824"/>
    <w:rsid w:val="00870408"/>
    <w:rsid w:val="00871CDB"/>
    <w:rsid w:val="00894780"/>
    <w:rsid w:val="00896656"/>
    <w:rsid w:val="008A410E"/>
    <w:rsid w:val="008B23D3"/>
    <w:rsid w:val="008B2459"/>
    <w:rsid w:val="008C3B56"/>
    <w:rsid w:val="008D3E9A"/>
    <w:rsid w:val="008E7261"/>
    <w:rsid w:val="008F6523"/>
    <w:rsid w:val="00904F60"/>
    <w:rsid w:val="00910752"/>
    <w:rsid w:val="00917F27"/>
    <w:rsid w:val="0092242F"/>
    <w:rsid w:val="00922FC2"/>
    <w:rsid w:val="00935E1B"/>
    <w:rsid w:val="009434F4"/>
    <w:rsid w:val="00947E5C"/>
    <w:rsid w:val="00950545"/>
    <w:rsid w:val="00952D30"/>
    <w:rsid w:val="00955A4C"/>
    <w:rsid w:val="0095691D"/>
    <w:rsid w:val="0096245F"/>
    <w:rsid w:val="0096439C"/>
    <w:rsid w:val="00964729"/>
    <w:rsid w:val="009879AA"/>
    <w:rsid w:val="0099239C"/>
    <w:rsid w:val="009A0978"/>
    <w:rsid w:val="009A4ACB"/>
    <w:rsid w:val="009B5250"/>
    <w:rsid w:val="009B79D2"/>
    <w:rsid w:val="009C08F6"/>
    <w:rsid w:val="009C71A2"/>
    <w:rsid w:val="009D1FAA"/>
    <w:rsid w:val="009D7B96"/>
    <w:rsid w:val="009E4606"/>
    <w:rsid w:val="009E6D3B"/>
    <w:rsid w:val="009F59A3"/>
    <w:rsid w:val="00A01073"/>
    <w:rsid w:val="00A26FAD"/>
    <w:rsid w:val="00A324B0"/>
    <w:rsid w:val="00A44898"/>
    <w:rsid w:val="00A607EF"/>
    <w:rsid w:val="00A62791"/>
    <w:rsid w:val="00A7558E"/>
    <w:rsid w:val="00A770C5"/>
    <w:rsid w:val="00A804AF"/>
    <w:rsid w:val="00A836E7"/>
    <w:rsid w:val="00A95039"/>
    <w:rsid w:val="00A97273"/>
    <w:rsid w:val="00AA0189"/>
    <w:rsid w:val="00AA2ACD"/>
    <w:rsid w:val="00AA4CC3"/>
    <w:rsid w:val="00AA7CCF"/>
    <w:rsid w:val="00AB0863"/>
    <w:rsid w:val="00AB2A94"/>
    <w:rsid w:val="00AB2CCA"/>
    <w:rsid w:val="00AC1F4B"/>
    <w:rsid w:val="00AD3AD5"/>
    <w:rsid w:val="00AD4A06"/>
    <w:rsid w:val="00AE09F5"/>
    <w:rsid w:val="00AF2502"/>
    <w:rsid w:val="00B0508B"/>
    <w:rsid w:val="00B06608"/>
    <w:rsid w:val="00B102E2"/>
    <w:rsid w:val="00B26346"/>
    <w:rsid w:val="00B30109"/>
    <w:rsid w:val="00B32EF2"/>
    <w:rsid w:val="00B35F20"/>
    <w:rsid w:val="00B427ED"/>
    <w:rsid w:val="00B502DE"/>
    <w:rsid w:val="00B51793"/>
    <w:rsid w:val="00B5437A"/>
    <w:rsid w:val="00B62C78"/>
    <w:rsid w:val="00B736A4"/>
    <w:rsid w:val="00B75B17"/>
    <w:rsid w:val="00B806D3"/>
    <w:rsid w:val="00B87222"/>
    <w:rsid w:val="00B96776"/>
    <w:rsid w:val="00BA03A2"/>
    <w:rsid w:val="00BB5398"/>
    <w:rsid w:val="00BC1E91"/>
    <w:rsid w:val="00BC70ED"/>
    <w:rsid w:val="00BD0D7C"/>
    <w:rsid w:val="00BD4BAF"/>
    <w:rsid w:val="00BD6B3D"/>
    <w:rsid w:val="00BE636A"/>
    <w:rsid w:val="00BF3465"/>
    <w:rsid w:val="00BF64DE"/>
    <w:rsid w:val="00C00AE0"/>
    <w:rsid w:val="00C01E42"/>
    <w:rsid w:val="00C15C0C"/>
    <w:rsid w:val="00C16D7A"/>
    <w:rsid w:val="00C2105B"/>
    <w:rsid w:val="00C229C8"/>
    <w:rsid w:val="00C22AF6"/>
    <w:rsid w:val="00C26608"/>
    <w:rsid w:val="00C33564"/>
    <w:rsid w:val="00C462DC"/>
    <w:rsid w:val="00C54601"/>
    <w:rsid w:val="00C54641"/>
    <w:rsid w:val="00C60204"/>
    <w:rsid w:val="00C609E6"/>
    <w:rsid w:val="00C675F6"/>
    <w:rsid w:val="00C7394B"/>
    <w:rsid w:val="00C86B15"/>
    <w:rsid w:val="00C87E94"/>
    <w:rsid w:val="00C90C7A"/>
    <w:rsid w:val="00C914CF"/>
    <w:rsid w:val="00CA386D"/>
    <w:rsid w:val="00CA4F91"/>
    <w:rsid w:val="00CA6B57"/>
    <w:rsid w:val="00CB7597"/>
    <w:rsid w:val="00CC2972"/>
    <w:rsid w:val="00CC3FC5"/>
    <w:rsid w:val="00CD392F"/>
    <w:rsid w:val="00CE571B"/>
    <w:rsid w:val="00D017A9"/>
    <w:rsid w:val="00D05E9B"/>
    <w:rsid w:val="00D108E4"/>
    <w:rsid w:val="00D10F7E"/>
    <w:rsid w:val="00D216D3"/>
    <w:rsid w:val="00D241C4"/>
    <w:rsid w:val="00D27204"/>
    <w:rsid w:val="00D52353"/>
    <w:rsid w:val="00D5282C"/>
    <w:rsid w:val="00D6109B"/>
    <w:rsid w:val="00D83132"/>
    <w:rsid w:val="00D842C4"/>
    <w:rsid w:val="00D84F33"/>
    <w:rsid w:val="00D961D0"/>
    <w:rsid w:val="00D96E02"/>
    <w:rsid w:val="00DA5143"/>
    <w:rsid w:val="00DB714E"/>
    <w:rsid w:val="00DB7C2B"/>
    <w:rsid w:val="00DC1D38"/>
    <w:rsid w:val="00DC3368"/>
    <w:rsid w:val="00DE16F3"/>
    <w:rsid w:val="00DE3097"/>
    <w:rsid w:val="00E02AF0"/>
    <w:rsid w:val="00E054C1"/>
    <w:rsid w:val="00E13F86"/>
    <w:rsid w:val="00E168DF"/>
    <w:rsid w:val="00E22A5E"/>
    <w:rsid w:val="00E43DA2"/>
    <w:rsid w:val="00E50751"/>
    <w:rsid w:val="00E620DB"/>
    <w:rsid w:val="00E643E9"/>
    <w:rsid w:val="00E65977"/>
    <w:rsid w:val="00E66525"/>
    <w:rsid w:val="00E70E31"/>
    <w:rsid w:val="00E74BE2"/>
    <w:rsid w:val="00E7720C"/>
    <w:rsid w:val="00E917D0"/>
    <w:rsid w:val="00E940ED"/>
    <w:rsid w:val="00EB43D3"/>
    <w:rsid w:val="00EB78DB"/>
    <w:rsid w:val="00EC28C5"/>
    <w:rsid w:val="00EC3BAE"/>
    <w:rsid w:val="00ED06BF"/>
    <w:rsid w:val="00EE49D3"/>
    <w:rsid w:val="00EE6372"/>
    <w:rsid w:val="00EF3BD9"/>
    <w:rsid w:val="00F226C6"/>
    <w:rsid w:val="00F26D26"/>
    <w:rsid w:val="00F432A7"/>
    <w:rsid w:val="00F46BB8"/>
    <w:rsid w:val="00F5281F"/>
    <w:rsid w:val="00F74942"/>
    <w:rsid w:val="00F74E3F"/>
    <w:rsid w:val="00F8575A"/>
    <w:rsid w:val="00F87D29"/>
    <w:rsid w:val="00F9231E"/>
    <w:rsid w:val="00F94FBF"/>
    <w:rsid w:val="00F95A32"/>
    <w:rsid w:val="00F9636A"/>
    <w:rsid w:val="00FA1FF9"/>
    <w:rsid w:val="00FE187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4F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E9B"/>
    <w:rPr>
      <w:sz w:val="16"/>
      <w:szCs w:val="16"/>
    </w:rPr>
  </w:style>
  <w:style w:type="paragraph" w:styleId="CommentText">
    <w:name w:val="annotation text"/>
    <w:basedOn w:val="Normal"/>
    <w:link w:val="CommentTextChar"/>
    <w:uiPriority w:val="99"/>
    <w:semiHidden/>
    <w:unhideWhenUsed/>
    <w:rsid w:val="00D05E9B"/>
    <w:pPr>
      <w:spacing w:line="240" w:lineRule="auto"/>
    </w:pPr>
    <w:rPr>
      <w:sz w:val="20"/>
      <w:szCs w:val="20"/>
    </w:rPr>
  </w:style>
  <w:style w:type="character" w:customStyle="1" w:styleId="CommentTextChar">
    <w:name w:val="Comment Text Char"/>
    <w:basedOn w:val="DefaultParagraphFont"/>
    <w:link w:val="CommentText"/>
    <w:uiPriority w:val="99"/>
    <w:semiHidden/>
    <w:rsid w:val="00D05E9B"/>
    <w:rPr>
      <w:sz w:val="20"/>
      <w:szCs w:val="20"/>
    </w:rPr>
  </w:style>
  <w:style w:type="paragraph" w:styleId="CommentSubject">
    <w:name w:val="annotation subject"/>
    <w:basedOn w:val="CommentText"/>
    <w:next w:val="CommentText"/>
    <w:link w:val="CommentSubjectChar"/>
    <w:uiPriority w:val="99"/>
    <w:semiHidden/>
    <w:unhideWhenUsed/>
    <w:rsid w:val="00D05E9B"/>
    <w:rPr>
      <w:b/>
      <w:bCs/>
    </w:rPr>
  </w:style>
  <w:style w:type="character" w:customStyle="1" w:styleId="CommentSubjectChar">
    <w:name w:val="Comment Subject Char"/>
    <w:basedOn w:val="CommentTextChar"/>
    <w:link w:val="CommentSubject"/>
    <w:uiPriority w:val="99"/>
    <w:semiHidden/>
    <w:rsid w:val="00D05E9B"/>
    <w:rPr>
      <w:b/>
      <w:bCs/>
      <w:sz w:val="20"/>
      <w:szCs w:val="20"/>
    </w:rPr>
  </w:style>
  <w:style w:type="paragraph" w:styleId="BalloonText">
    <w:name w:val="Balloon Text"/>
    <w:basedOn w:val="Normal"/>
    <w:link w:val="BalloonTextChar"/>
    <w:uiPriority w:val="99"/>
    <w:semiHidden/>
    <w:unhideWhenUsed/>
    <w:rsid w:val="00D05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9B"/>
    <w:rPr>
      <w:rFonts w:ascii="Segoe UI" w:hAnsi="Segoe UI" w:cs="Segoe UI"/>
      <w:sz w:val="18"/>
      <w:szCs w:val="18"/>
    </w:rPr>
  </w:style>
  <w:style w:type="paragraph" w:styleId="NormalWeb">
    <w:name w:val="Normal (Web)"/>
    <w:basedOn w:val="Normal"/>
    <w:uiPriority w:val="99"/>
    <w:semiHidden/>
    <w:unhideWhenUsed/>
    <w:rsid w:val="008528E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B7C2B"/>
    <w:rPr>
      <w:color w:val="0563C1" w:themeColor="hyperlink"/>
      <w:u w:val="single"/>
    </w:rPr>
  </w:style>
  <w:style w:type="paragraph" w:styleId="Revision">
    <w:name w:val="Revision"/>
    <w:hidden/>
    <w:uiPriority w:val="99"/>
    <w:semiHidden/>
    <w:rsid w:val="00013418"/>
    <w:pPr>
      <w:spacing w:after="0" w:line="240" w:lineRule="auto"/>
    </w:pPr>
  </w:style>
  <w:style w:type="paragraph" w:styleId="NoSpacing">
    <w:name w:val="No Spacing"/>
    <w:basedOn w:val="Normal"/>
    <w:uiPriority w:val="1"/>
    <w:qFormat/>
    <w:rsid w:val="005927FC"/>
    <w:pPr>
      <w:spacing w:after="0" w:line="240" w:lineRule="auto"/>
    </w:pPr>
    <w:rPr>
      <w:rFonts w:ascii="Calibri" w:hAnsi="Calibri" w:cs="Calibri"/>
    </w:rPr>
  </w:style>
  <w:style w:type="paragraph" w:styleId="Header">
    <w:name w:val="header"/>
    <w:basedOn w:val="Normal"/>
    <w:link w:val="HeaderChar"/>
    <w:uiPriority w:val="99"/>
    <w:rsid w:val="00246C54"/>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246C54"/>
    <w:rPr>
      <w:rFonts w:ascii="Arial" w:eastAsia="Times New Roman" w:hAnsi="Arial" w:cs="Times New Roman"/>
      <w:sz w:val="24"/>
      <w:szCs w:val="24"/>
    </w:rPr>
  </w:style>
  <w:style w:type="paragraph" w:styleId="ListParagraph">
    <w:name w:val="List Paragraph"/>
    <w:basedOn w:val="Normal"/>
    <w:uiPriority w:val="34"/>
    <w:qFormat/>
    <w:rsid w:val="00CD392F"/>
    <w:pPr>
      <w:ind w:left="720"/>
      <w:contextualSpacing/>
    </w:pPr>
  </w:style>
  <w:style w:type="paragraph" w:styleId="Footer">
    <w:name w:val="footer"/>
    <w:basedOn w:val="Normal"/>
    <w:link w:val="FooterChar"/>
    <w:uiPriority w:val="99"/>
    <w:unhideWhenUsed/>
    <w:rsid w:val="0029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046"/>
  </w:style>
  <w:style w:type="paragraph" w:customStyle="1" w:styleId="EndNoteBibliography">
    <w:name w:val="EndNote Bibliography"/>
    <w:basedOn w:val="Normal"/>
    <w:link w:val="EndNoteBibliographyChar"/>
    <w:rsid w:val="00152760"/>
    <w:pPr>
      <w:spacing w:line="240" w:lineRule="auto"/>
    </w:pPr>
    <w:rPr>
      <w:rFonts w:ascii="Calibri" w:eastAsiaTheme="minorEastAsia" w:hAnsi="Calibri"/>
      <w:noProof/>
      <w:lang w:eastAsia="zh-CN"/>
    </w:rPr>
  </w:style>
  <w:style w:type="character" w:customStyle="1" w:styleId="EndNoteBibliographyChar">
    <w:name w:val="EndNote Bibliography Char"/>
    <w:basedOn w:val="DefaultParagraphFont"/>
    <w:link w:val="EndNoteBibliography"/>
    <w:rsid w:val="00152760"/>
    <w:rPr>
      <w:rFonts w:ascii="Calibri" w:eastAsiaTheme="minorEastAsia" w:hAnsi="Calibri"/>
      <w:noProof/>
      <w:lang w:eastAsia="zh-CN"/>
    </w:rPr>
  </w:style>
  <w:style w:type="paragraph" w:styleId="BodyTextIndent">
    <w:name w:val="Body Text Indent"/>
    <w:basedOn w:val="Normal"/>
    <w:link w:val="BodyTextIndentChar"/>
    <w:uiPriority w:val="99"/>
    <w:unhideWhenUsed/>
    <w:rsid w:val="008201C3"/>
    <w:pPr>
      <w:spacing w:after="120"/>
      <w:ind w:left="283"/>
    </w:pPr>
    <w:rPr>
      <w:rFonts w:eastAsiaTheme="minorEastAsia"/>
      <w:lang w:eastAsia="zh-CN"/>
    </w:rPr>
  </w:style>
  <w:style w:type="character" w:customStyle="1" w:styleId="BodyTextIndentChar">
    <w:name w:val="Body Text Indent Char"/>
    <w:basedOn w:val="DefaultParagraphFont"/>
    <w:link w:val="BodyTextIndent"/>
    <w:uiPriority w:val="99"/>
    <w:rsid w:val="008201C3"/>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07285">
      <w:bodyDiv w:val="1"/>
      <w:marLeft w:val="0"/>
      <w:marRight w:val="0"/>
      <w:marTop w:val="0"/>
      <w:marBottom w:val="0"/>
      <w:divBdr>
        <w:top w:val="none" w:sz="0" w:space="0" w:color="auto"/>
        <w:left w:val="none" w:sz="0" w:space="0" w:color="auto"/>
        <w:bottom w:val="none" w:sz="0" w:space="0" w:color="auto"/>
        <w:right w:val="none" w:sz="0" w:space="0" w:color="auto"/>
      </w:divBdr>
    </w:div>
    <w:div w:id="1543055534">
      <w:bodyDiv w:val="1"/>
      <w:marLeft w:val="0"/>
      <w:marRight w:val="0"/>
      <w:marTop w:val="0"/>
      <w:marBottom w:val="0"/>
      <w:divBdr>
        <w:top w:val="none" w:sz="0" w:space="0" w:color="auto"/>
        <w:left w:val="none" w:sz="0" w:space="0" w:color="auto"/>
        <w:bottom w:val="none" w:sz="0" w:space="0" w:color="auto"/>
        <w:right w:val="none" w:sz="0" w:space="0" w:color="auto"/>
      </w:divBdr>
    </w:div>
    <w:div w:id="20444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51FAA-C1C9-4E46-89B3-B429BD65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2018-04-18T05:32:00Z</dcterms:created>
  <dcterms:modified xsi:type="dcterms:W3CDTF">2018-04-18T05:32:00Z</dcterms:modified>
</cp:coreProperties>
</file>