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372"/>
        <w:gridCol w:w="7978"/>
      </w:tblGrid>
      <w:tr w:rsidR="00E620DB" w:rsidRPr="001E0A56" w14:paraId="4972B1CB" w14:textId="77777777" w:rsidTr="00C207F9">
        <w:tc>
          <w:tcPr>
            <w:tcW w:w="1372" w:type="dxa"/>
          </w:tcPr>
          <w:p w14:paraId="7C435C6F" w14:textId="77777777" w:rsidR="00E620DB" w:rsidRPr="001E0A56" w:rsidRDefault="00E620DB" w:rsidP="00A7558E">
            <w:pPr>
              <w:jc w:val="both"/>
              <w:rPr>
                <w:rFonts w:asciiTheme="majorHAnsi" w:hAnsiTheme="majorHAnsi" w:cstheme="majorHAnsi"/>
                <w:sz w:val="20"/>
                <w:szCs w:val="20"/>
              </w:rPr>
            </w:pPr>
            <w:r w:rsidRPr="001E0A56">
              <w:rPr>
                <w:rFonts w:asciiTheme="majorHAnsi" w:hAnsiTheme="majorHAnsi" w:cstheme="majorHAnsi"/>
                <w:sz w:val="20"/>
                <w:szCs w:val="20"/>
              </w:rPr>
              <w:t>Title</w:t>
            </w:r>
          </w:p>
        </w:tc>
        <w:tc>
          <w:tcPr>
            <w:tcW w:w="7978" w:type="dxa"/>
          </w:tcPr>
          <w:p w14:paraId="3F3E05D6" w14:textId="5690DD80" w:rsidR="00D842C4" w:rsidRPr="001E0A56" w:rsidRDefault="00C207F9" w:rsidP="00C207F9">
            <w:pPr>
              <w:rPr>
                <w:rFonts w:asciiTheme="majorHAnsi" w:hAnsiTheme="majorHAnsi" w:cstheme="majorHAnsi"/>
                <w:sz w:val="20"/>
                <w:szCs w:val="20"/>
              </w:rPr>
            </w:pPr>
            <w:bookmarkStart w:id="0" w:name="_GoBack"/>
            <w:r>
              <w:rPr>
                <w:rFonts w:asciiTheme="majorHAnsi" w:hAnsiTheme="majorHAnsi" w:cstheme="majorHAnsi"/>
                <w:sz w:val="20"/>
                <w:szCs w:val="20"/>
              </w:rPr>
              <w:t>SLOW AND TIGHT BINDING INHIBITION KINETICS OF CYP17A1 BY ABIRATERONE AND ITS ACTIVE METABOLITE</w:t>
            </w:r>
            <w:bookmarkEnd w:id="0"/>
          </w:p>
        </w:tc>
      </w:tr>
      <w:tr w:rsidR="00E620DB" w:rsidRPr="001E0A56" w14:paraId="78A1354F" w14:textId="77777777" w:rsidTr="0001757E">
        <w:tc>
          <w:tcPr>
            <w:tcW w:w="1372" w:type="dxa"/>
          </w:tcPr>
          <w:p w14:paraId="501B846C" w14:textId="2A363F9D" w:rsidR="00E620DB" w:rsidRPr="001E0A56" w:rsidRDefault="00E620DB" w:rsidP="00A7558E">
            <w:pPr>
              <w:jc w:val="both"/>
              <w:rPr>
                <w:rFonts w:asciiTheme="majorHAnsi" w:hAnsiTheme="majorHAnsi" w:cstheme="majorHAnsi"/>
                <w:sz w:val="20"/>
                <w:szCs w:val="20"/>
              </w:rPr>
            </w:pPr>
            <w:r w:rsidRPr="001E0A56">
              <w:rPr>
                <w:rFonts w:asciiTheme="majorHAnsi" w:hAnsiTheme="majorHAnsi" w:cstheme="majorHAnsi"/>
                <w:sz w:val="20"/>
                <w:szCs w:val="20"/>
              </w:rPr>
              <w:t>Keywords</w:t>
            </w:r>
            <w:r w:rsidR="000349A3" w:rsidRPr="001E0A56">
              <w:rPr>
                <w:rFonts w:asciiTheme="majorHAnsi" w:hAnsiTheme="majorHAnsi" w:cstheme="majorHAnsi"/>
                <w:sz w:val="20"/>
                <w:szCs w:val="20"/>
              </w:rPr>
              <w:t xml:space="preserve"> (up to 5)</w:t>
            </w:r>
          </w:p>
        </w:tc>
        <w:tc>
          <w:tcPr>
            <w:tcW w:w="7978" w:type="dxa"/>
          </w:tcPr>
          <w:p w14:paraId="4AB40E9B" w14:textId="0E330943" w:rsidR="00E620DB" w:rsidRPr="001E0A56" w:rsidRDefault="001E0A56" w:rsidP="00A7558E">
            <w:pPr>
              <w:jc w:val="both"/>
              <w:rPr>
                <w:rFonts w:asciiTheme="majorHAnsi" w:hAnsiTheme="majorHAnsi" w:cstheme="majorHAnsi"/>
                <w:sz w:val="20"/>
                <w:szCs w:val="20"/>
              </w:rPr>
            </w:pPr>
            <w:r w:rsidRPr="001E0A56">
              <w:rPr>
                <w:rFonts w:asciiTheme="majorHAnsi" w:hAnsiTheme="majorHAnsi" w:cstheme="majorHAnsi"/>
                <w:sz w:val="20"/>
                <w:szCs w:val="20"/>
              </w:rPr>
              <w:t>Enzyme Inhibition</w:t>
            </w:r>
          </w:p>
        </w:tc>
      </w:tr>
      <w:tr w:rsidR="00E620DB" w:rsidRPr="001E0A56" w14:paraId="0B004C6E" w14:textId="77777777" w:rsidTr="0001757E">
        <w:tc>
          <w:tcPr>
            <w:tcW w:w="1372" w:type="dxa"/>
          </w:tcPr>
          <w:p w14:paraId="5B871235" w14:textId="77777777" w:rsidR="00E620DB" w:rsidRPr="001E0A56" w:rsidRDefault="00E054C1" w:rsidP="00A7558E">
            <w:pPr>
              <w:jc w:val="both"/>
              <w:rPr>
                <w:rFonts w:asciiTheme="majorHAnsi" w:hAnsiTheme="majorHAnsi" w:cstheme="majorHAnsi"/>
                <w:sz w:val="20"/>
                <w:szCs w:val="20"/>
              </w:rPr>
            </w:pPr>
            <w:r w:rsidRPr="001E0A56">
              <w:rPr>
                <w:rFonts w:asciiTheme="majorHAnsi" w:hAnsiTheme="majorHAnsi" w:cstheme="majorHAnsi"/>
                <w:sz w:val="20"/>
                <w:szCs w:val="20"/>
              </w:rPr>
              <w:t>Authors</w:t>
            </w:r>
          </w:p>
        </w:tc>
        <w:tc>
          <w:tcPr>
            <w:tcW w:w="7978" w:type="dxa"/>
          </w:tcPr>
          <w:p w14:paraId="6DC6F98F" w14:textId="77777777" w:rsidR="00C207F9" w:rsidRPr="00C207F9" w:rsidRDefault="00C207F9" w:rsidP="00C207F9">
            <w:pPr>
              <w:pStyle w:val="NoSpacing"/>
              <w:jc w:val="both"/>
              <w:rPr>
                <w:rFonts w:asciiTheme="majorHAnsi" w:hAnsiTheme="majorHAnsi" w:cstheme="majorHAnsi"/>
                <w:i/>
                <w:iCs/>
                <w:sz w:val="20"/>
                <w:szCs w:val="20"/>
                <w:lang w:val="en-MY"/>
              </w:rPr>
            </w:pPr>
            <w:r w:rsidRPr="00C207F9">
              <w:rPr>
                <w:rFonts w:asciiTheme="majorHAnsi" w:hAnsiTheme="majorHAnsi" w:cstheme="majorHAnsi"/>
                <w:i/>
                <w:iCs/>
                <w:sz w:val="20"/>
                <w:szCs w:val="20"/>
                <w:lang w:val="en-MY"/>
              </w:rPr>
              <w:t>Eleanor Jing Yi Cheong</w:t>
            </w:r>
            <w:r w:rsidRPr="00C207F9">
              <w:rPr>
                <w:rFonts w:asciiTheme="majorHAnsi" w:hAnsiTheme="majorHAnsi" w:cstheme="majorHAnsi"/>
                <w:i/>
                <w:iCs/>
                <w:sz w:val="20"/>
                <w:szCs w:val="20"/>
                <w:vertAlign w:val="superscript"/>
                <w:lang w:val="en-MY"/>
              </w:rPr>
              <w:t>1</w:t>
            </w:r>
            <w:r w:rsidRPr="00C207F9">
              <w:rPr>
                <w:rFonts w:asciiTheme="majorHAnsi" w:hAnsiTheme="majorHAnsi" w:cstheme="majorHAnsi"/>
                <w:i/>
                <w:iCs/>
                <w:sz w:val="20"/>
                <w:szCs w:val="20"/>
                <w:lang w:val="en-MY"/>
              </w:rPr>
              <w:t>, Rebecca Wan Yi Neo</w:t>
            </w:r>
            <w:r w:rsidRPr="00C207F9">
              <w:rPr>
                <w:rFonts w:asciiTheme="majorHAnsi" w:hAnsiTheme="majorHAnsi" w:cstheme="majorHAnsi"/>
                <w:i/>
                <w:iCs/>
                <w:sz w:val="20"/>
                <w:szCs w:val="20"/>
                <w:vertAlign w:val="superscript"/>
                <w:lang w:val="en-MY"/>
              </w:rPr>
              <w:t>1</w:t>
            </w:r>
            <w:r w:rsidRPr="00C207F9">
              <w:rPr>
                <w:rFonts w:asciiTheme="majorHAnsi" w:hAnsiTheme="majorHAnsi" w:cstheme="majorHAnsi"/>
                <w:i/>
                <w:iCs/>
                <w:sz w:val="20"/>
                <w:szCs w:val="20"/>
                <w:lang w:val="en-MY"/>
              </w:rPr>
              <w:t>, Ho Thanh Tu</w:t>
            </w:r>
            <w:r w:rsidRPr="00C207F9">
              <w:rPr>
                <w:rFonts w:asciiTheme="majorHAnsi" w:hAnsiTheme="majorHAnsi" w:cstheme="majorHAnsi"/>
                <w:i/>
                <w:iCs/>
                <w:sz w:val="20"/>
                <w:szCs w:val="20"/>
                <w:vertAlign w:val="superscript"/>
                <w:lang w:val="en-MY"/>
              </w:rPr>
              <w:t>1</w:t>
            </w:r>
            <w:r w:rsidRPr="00C207F9">
              <w:rPr>
                <w:rFonts w:asciiTheme="majorHAnsi" w:hAnsiTheme="majorHAnsi" w:cstheme="majorHAnsi"/>
                <w:i/>
                <w:iCs/>
                <w:sz w:val="20"/>
                <w:szCs w:val="20"/>
                <w:lang w:val="en-MY"/>
              </w:rPr>
              <w:t>, Fu Lin</w:t>
            </w:r>
            <w:r w:rsidRPr="00C207F9">
              <w:rPr>
                <w:rFonts w:asciiTheme="majorHAnsi" w:hAnsiTheme="majorHAnsi" w:cstheme="majorHAnsi"/>
                <w:i/>
                <w:iCs/>
                <w:sz w:val="20"/>
                <w:szCs w:val="20"/>
                <w:vertAlign w:val="superscript"/>
                <w:lang w:val="en-MY"/>
              </w:rPr>
              <w:t>2</w:t>
            </w:r>
            <w:r w:rsidRPr="00C207F9">
              <w:rPr>
                <w:rFonts w:asciiTheme="majorHAnsi" w:hAnsiTheme="majorHAnsi" w:cstheme="majorHAnsi"/>
                <w:i/>
                <w:iCs/>
                <w:sz w:val="20"/>
                <w:szCs w:val="20"/>
                <w:lang w:val="en-MY"/>
              </w:rPr>
              <w:t>, Ratha Mahendran</w:t>
            </w:r>
            <w:r w:rsidRPr="00C207F9">
              <w:rPr>
                <w:rFonts w:asciiTheme="majorHAnsi" w:hAnsiTheme="majorHAnsi" w:cstheme="majorHAnsi"/>
                <w:i/>
                <w:iCs/>
                <w:sz w:val="20"/>
                <w:szCs w:val="20"/>
                <w:vertAlign w:val="superscript"/>
                <w:lang w:val="en-MY"/>
              </w:rPr>
              <w:t>3</w:t>
            </w:r>
            <w:r w:rsidRPr="00C207F9">
              <w:rPr>
                <w:rFonts w:asciiTheme="majorHAnsi" w:hAnsiTheme="majorHAnsi" w:cstheme="majorHAnsi"/>
                <w:i/>
                <w:iCs/>
                <w:sz w:val="20"/>
                <w:szCs w:val="20"/>
                <w:lang w:val="en-MY"/>
              </w:rPr>
              <w:t>, Edmund Chiong</w:t>
            </w:r>
            <w:r w:rsidRPr="00C207F9">
              <w:rPr>
                <w:rFonts w:asciiTheme="majorHAnsi" w:hAnsiTheme="majorHAnsi" w:cstheme="majorHAnsi"/>
                <w:i/>
                <w:iCs/>
                <w:sz w:val="20"/>
                <w:szCs w:val="20"/>
                <w:vertAlign w:val="superscript"/>
                <w:lang w:val="en-MY"/>
              </w:rPr>
              <w:t>3,4</w:t>
            </w:r>
            <w:r w:rsidRPr="00C207F9">
              <w:rPr>
                <w:rFonts w:asciiTheme="majorHAnsi" w:hAnsiTheme="majorHAnsi" w:cstheme="majorHAnsi"/>
                <w:i/>
                <w:iCs/>
                <w:sz w:val="20"/>
                <w:szCs w:val="20"/>
                <w:lang w:val="en-MY"/>
              </w:rPr>
              <w:t>, Kesavan Esuvaranathan</w:t>
            </w:r>
            <w:r w:rsidRPr="00C207F9">
              <w:rPr>
                <w:rFonts w:asciiTheme="majorHAnsi" w:hAnsiTheme="majorHAnsi" w:cstheme="majorHAnsi"/>
                <w:i/>
                <w:iCs/>
                <w:sz w:val="20"/>
                <w:szCs w:val="20"/>
                <w:vertAlign w:val="superscript"/>
                <w:lang w:val="en-MY"/>
              </w:rPr>
              <w:t>3,4</w:t>
            </w:r>
            <w:r w:rsidRPr="00C207F9">
              <w:rPr>
                <w:rFonts w:asciiTheme="majorHAnsi" w:hAnsiTheme="majorHAnsi" w:cstheme="majorHAnsi"/>
                <w:i/>
                <w:iCs/>
                <w:sz w:val="20"/>
                <w:szCs w:val="20"/>
                <w:lang w:val="en-MY"/>
              </w:rPr>
              <w:t>, Hao Fan</w:t>
            </w:r>
            <w:r w:rsidRPr="00C207F9">
              <w:rPr>
                <w:rFonts w:asciiTheme="majorHAnsi" w:hAnsiTheme="majorHAnsi" w:cstheme="majorHAnsi"/>
                <w:i/>
                <w:iCs/>
                <w:sz w:val="20"/>
                <w:szCs w:val="20"/>
                <w:vertAlign w:val="superscript"/>
                <w:lang w:val="en-MY"/>
              </w:rPr>
              <w:t>2</w:t>
            </w:r>
            <w:r w:rsidRPr="00C207F9">
              <w:rPr>
                <w:rFonts w:asciiTheme="majorHAnsi" w:hAnsiTheme="majorHAnsi" w:cstheme="majorHAnsi"/>
                <w:i/>
                <w:iCs/>
                <w:sz w:val="20"/>
                <w:szCs w:val="20"/>
                <w:lang w:val="en-MY"/>
              </w:rPr>
              <w:t>, Christina Li Lin Chai</w:t>
            </w:r>
            <w:r w:rsidRPr="00C207F9">
              <w:rPr>
                <w:rFonts w:asciiTheme="majorHAnsi" w:hAnsiTheme="majorHAnsi" w:cstheme="majorHAnsi"/>
                <w:i/>
                <w:iCs/>
                <w:sz w:val="20"/>
                <w:szCs w:val="20"/>
                <w:vertAlign w:val="superscript"/>
                <w:lang w:val="en-MY"/>
              </w:rPr>
              <w:t>1</w:t>
            </w:r>
            <w:r w:rsidRPr="00C207F9">
              <w:rPr>
                <w:rFonts w:asciiTheme="majorHAnsi" w:hAnsiTheme="majorHAnsi" w:cstheme="majorHAnsi"/>
                <w:i/>
                <w:iCs/>
                <w:sz w:val="20"/>
                <w:szCs w:val="20"/>
                <w:lang w:val="en-MY"/>
              </w:rPr>
              <w:t>, Eric Chun Yong Chan</w:t>
            </w:r>
            <w:r w:rsidRPr="00C207F9">
              <w:rPr>
                <w:rFonts w:asciiTheme="majorHAnsi" w:hAnsiTheme="majorHAnsi" w:cstheme="majorHAnsi"/>
                <w:i/>
                <w:iCs/>
                <w:sz w:val="20"/>
                <w:szCs w:val="20"/>
                <w:vertAlign w:val="superscript"/>
                <w:lang w:val="en-MY"/>
              </w:rPr>
              <w:t>1,5</w:t>
            </w:r>
          </w:p>
          <w:p w14:paraId="0560D60B" w14:textId="77777777" w:rsidR="00C207F9" w:rsidRPr="00C207F9" w:rsidRDefault="00C207F9" w:rsidP="00C207F9">
            <w:pPr>
              <w:pStyle w:val="NoSpacing"/>
              <w:jc w:val="both"/>
              <w:rPr>
                <w:rFonts w:asciiTheme="majorHAnsi" w:hAnsiTheme="majorHAnsi" w:cstheme="majorHAnsi"/>
                <w:i/>
                <w:iCs/>
                <w:sz w:val="20"/>
                <w:szCs w:val="20"/>
                <w:lang w:val="en-MY"/>
              </w:rPr>
            </w:pPr>
            <w:r w:rsidRPr="00C207F9">
              <w:rPr>
                <w:rFonts w:asciiTheme="majorHAnsi" w:hAnsiTheme="majorHAnsi" w:cstheme="majorHAnsi"/>
                <w:i/>
                <w:iCs/>
                <w:sz w:val="20"/>
                <w:szCs w:val="20"/>
                <w:vertAlign w:val="superscript"/>
                <w:lang w:val="en-MY"/>
              </w:rPr>
              <w:t>1</w:t>
            </w:r>
            <w:r w:rsidRPr="00C207F9">
              <w:rPr>
                <w:rFonts w:asciiTheme="majorHAnsi" w:hAnsiTheme="majorHAnsi" w:cstheme="majorHAnsi"/>
                <w:i/>
                <w:iCs/>
                <w:sz w:val="20"/>
                <w:szCs w:val="20"/>
                <w:lang w:val="en-MY"/>
              </w:rPr>
              <w:t>Department of Pharmacy, National University of Singapore, Singapore</w:t>
            </w:r>
          </w:p>
          <w:p w14:paraId="6F001778" w14:textId="77777777" w:rsidR="00C207F9" w:rsidRPr="00C207F9" w:rsidRDefault="00C207F9" w:rsidP="00C207F9">
            <w:pPr>
              <w:pStyle w:val="NoSpacing"/>
              <w:jc w:val="both"/>
              <w:rPr>
                <w:rFonts w:asciiTheme="majorHAnsi" w:hAnsiTheme="majorHAnsi" w:cstheme="majorHAnsi"/>
                <w:i/>
                <w:iCs/>
                <w:sz w:val="20"/>
                <w:szCs w:val="20"/>
                <w:lang w:val="en-MY"/>
              </w:rPr>
            </w:pPr>
            <w:r w:rsidRPr="00C207F9">
              <w:rPr>
                <w:rFonts w:asciiTheme="majorHAnsi" w:hAnsiTheme="majorHAnsi" w:cstheme="majorHAnsi"/>
                <w:i/>
                <w:iCs/>
                <w:sz w:val="20"/>
                <w:szCs w:val="20"/>
                <w:vertAlign w:val="superscript"/>
                <w:lang w:val="en-MY"/>
              </w:rPr>
              <w:t>2</w:t>
            </w:r>
            <w:r w:rsidRPr="00C207F9">
              <w:rPr>
                <w:rFonts w:asciiTheme="majorHAnsi" w:hAnsiTheme="majorHAnsi" w:cstheme="majorHAnsi"/>
                <w:i/>
                <w:iCs/>
                <w:sz w:val="20"/>
                <w:szCs w:val="20"/>
                <w:lang w:val="en-MY"/>
              </w:rPr>
              <w:t>Bioinformatics Institute, Agency for Science, Technology and Research (A*STAR). Singapore</w:t>
            </w:r>
          </w:p>
          <w:p w14:paraId="71914EA0" w14:textId="77777777" w:rsidR="00C207F9" w:rsidRPr="00C207F9" w:rsidRDefault="00C207F9" w:rsidP="00C207F9">
            <w:pPr>
              <w:pStyle w:val="NoSpacing"/>
              <w:jc w:val="both"/>
              <w:rPr>
                <w:rFonts w:asciiTheme="majorHAnsi" w:hAnsiTheme="majorHAnsi" w:cstheme="majorHAnsi"/>
                <w:i/>
                <w:iCs/>
                <w:sz w:val="20"/>
                <w:szCs w:val="20"/>
                <w:lang w:val="en-MY"/>
              </w:rPr>
            </w:pPr>
            <w:r w:rsidRPr="00C207F9">
              <w:rPr>
                <w:rFonts w:asciiTheme="majorHAnsi" w:hAnsiTheme="majorHAnsi" w:cstheme="majorHAnsi"/>
                <w:i/>
                <w:iCs/>
                <w:sz w:val="20"/>
                <w:szCs w:val="20"/>
                <w:vertAlign w:val="superscript"/>
                <w:lang w:val="en-MY"/>
              </w:rPr>
              <w:t>3</w:t>
            </w:r>
            <w:r w:rsidRPr="00C207F9">
              <w:rPr>
                <w:rFonts w:asciiTheme="majorHAnsi" w:hAnsiTheme="majorHAnsi" w:cstheme="majorHAnsi"/>
                <w:i/>
                <w:iCs/>
                <w:sz w:val="20"/>
                <w:szCs w:val="20"/>
                <w:lang w:val="en-MY"/>
              </w:rPr>
              <w:t>Department of Surgery, National University of Singapore, Singapore</w:t>
            </w:r>
          </w:p>
          <w:p w14:paraId="6E825006" w14:textId="77777777" w:rsidR="00C207F9" w:rsidRPr="00C207F9" w:rsidRDefault="00C207F9" w:rsidP="00C207F9">
            <w:pPr>
              <w:pStyle w:val="NoSpacing"/>
              <w:jc w:val="both"/>
              <w:rPr>
                <w:rFonts w:asciiTheme="majorHAnsi" w:hAnsiTheme="majorHAnsi" w:cstheme="majorHAnsi"/>
                <w:i/>
                <w:iCs/>
                <w:sz w:val="20"/>
                <w:szCs w:val="20"/>
                <w:lang w:val="en-MY"/>
              </w:rPr>
            </w:pPr>
            <w:r w:rsidRPr="00C207F9">
              <w:rPr>
                <w:rFonts w:asciiTheme="majorHAnsi" w:hAnsiTheme="majorHAnsi" w:cstheme="majorHAnsi"/>
                <w:i/>
                <w:iCs/>
                <w:sz w:val="20"/>
                <w:szCs w:val="20"/>
                <w:vertAlign w:val="superscript"/>
                <w:lang w:val="en-MY"/>
              </w:rPr>
              <w:t>4</w:t>
            </w:r>
            <w:r w:rsidRPr="00C207F9">
              <w:rPr>
                <w:rFonts w:asciiTheme="majorHAnsi" w:hAnsiTheme="majorHAnsi" w:cstheme="majorHAnsi"/>
                <w:i/>
                <w:iCs/>
                <w:sz w:val="20"/>
                <w:szCs w:val="20"/>
                <w:lang w:val="en-MY"/>
              </w:rPr>
              <w:t>Department of Urology, National University Hospital Singapore, Singapore</w:t>
            </w:r>
          </w:p>
          <w:p w14:paraId="67D2547E" w14:textId="1844F8C8" w:rsidR="00D842C4" w:rsidRPr="001E0A56" w:rsidRDefault="00C207F9" w:rsidP="00C207F9">
            <w:pPr>
              <w:pStyle w:val="NoSpacing"/>
              <w:jc w:val="both"/>
              <w:rPr>
                <w:rFonts w:asciiTheme="majorHAnsi" w:hAnsiTheme="majorHAnsi" w:cstheme="majorHAnsi"/>
                <w:i/>
                <w:iCs/>
                <w:sz w:val="20"/>
                <w:szCs w:val="20"/>
                <w:lang w:val="en-MY"/>
              </w:rPr>
            </w:pPr>
            <w:r w:rsidRPr="00C207F9">
              <w:rPr>
                <w:rFonts w:asciiTheme="majorHAnsi" w:hAnsiTheme="majorHAnsi" w:cstheme="majorHAnsi"/>
                <w:i/>
                <w:iCs/>
                <w:sz w:val="20"/>
                <w:szCs w:val="20"/>
                <w:vertAlign w:val="superscript"/>
                <w:lang w:val="en-MY"/>
              </w:rPr>
              <w:t>5</w:t>
            </w:r>
            <w:r w:rsidRPr="00C207F9">
              <w:rPr>
                <w:rFonts w:asciiTheme="majorHAnsi" w:hAnsiTheme="majorHAnsi" w:cstheme="majorHAnsi"/>
                <w:i/>
                <w:iCs/>
                <w:sz w:val="20"/>
                <w:szCs w:val="20"/>
                <w:lang w:val="en-MY"/>
              </w:rPr>
              <w:t>Singapore Institute of Clinical Sciences, Agency for Science, Technology and Research (A*STAR), Singapore</w:t>
            </w:r>
          </w:p>
        </w:tc>
      </w:tr>
      <w:tr w:rsidR="00E620DB" w:rsidRPr="001E0A56" w14:paraId="7581BD97" w14:textId="77777777" w:rsidTr="0001757E">
        <w:tc>
          <w:tcPr>
            <w:tcW w:w="1372" w:type="dxa"/>
          </w:tcPr>
          <w:p w14:paraId="58292372" w14:textId="4B67598D" w:rsidR="0039065E" w:rsidRPr="001E0A56" w:rsidRDefault="0039065E" w:rsidP="00A7558E">
            <w:pPr>
              <w:jc w:val="both"/>
              <w:rPr>
                <w:rFonts w:asciiTheme="majorHAnsi" w:hAnsiTheme="majorHAnsi" w:cstheme="majorHAnsi"/>
                <w:sz w:val="20"/>
                <w:szCs w:val="20"/>
              </w:rPr>
            </w:pPr>
            <w:r w:rsidRPr="001E0A56">
              <w:rPr>
                <w:rFonts w:asciiTheme="majorHAnsi" w:hAnsiTheme="majorHAnsi" w:cstheme="majorHAnsi"/>
                <w:sz w:val="20"/>
                <w:szCs w:val="20"/>
              </w:rPr>
              <w:t>Abstract</w:t>
            </w:r>
          </w:p>
        </w:tc>
        <w:tc>
          <w:tcPr>
            <w:tcW w:w="7978" w:type="dxa"/>
          </w:tcPr>
          <w:p w14:paraId="6B8F5A22" w14:textId="54F276FD" w:rsidR="00D842C4" w:rsidRPr="00AA219C" w:rsidRDefault="00211158" w:rsidP="00211158">
            <w:pPr>
              <w:spacing w:after="160" w:line="259" w:lineRule="auto"/>
              <w:jc w:val="both"/>
              <w:rPr>
                <w:rFonts w:asciiTheme="majorHAnsi" w:hAnsiTheme="majorHAnsi" w:cstheme="majorHAnsi"/>
                <w:color w:val="000000"/>
                <w:sz w:val="20"/>
                <w:szCs w:val="20"/>
              </w:rPr>
            </w:pPr>
            <w:r w:rsidRPr="00BC0FCE">
              <w:rPr>
                <w:rStyle w:val="fontstyle01"/>
                <w:rFonts w:asciiTheme="majorHAnsi" w:hAnsiTheme="majorHAnsi" w:cstheme="majorHAnsi"/>
                <w:sz w:val="20"/>
                <w:szCs w:val="20"/>
              </w:rPr>
              <w:t>Cytochrome P450 17A1</w:t>
            </w:r>
            <w:r>
              <w:rPr>
                <w:rStyle w:val="fontstyle01"/>
                <w:rFonts w:asciiTheme="majorHAnsi" w:hAnsiTheme="majorHAnsi" w:cstheme="majorHAnsi"/>
                <w:sz w:val="20"/>
                <w:szCs w:val="20"/>
              </w:rPr>
              <w:t xml:space="preserve"> (CYP17A1)</w:t>
            </w:r>
            <w:r w:rsidRPr="00BC0FCE">
              <w:rPr>
                <w:rStyle w:val="fontstyle01"/>
                <w:rFonts w:asciiTheme="majorHAnsi" w:hAnsiTheme="majorHAnsi" w:cstheme="majorHAnsi"/>
                <w:sz w:val="20"/>
                <w:szCs w:val="20"/>
              </w:rPr>
              <w:t xml:space="preserve"> is a </w:t>
            </w:r>
            <w:r>
              <w:rPr>
                <w:rStyle w:val="fontstyle01"/>
                <w:rFonts w:asciiTheme="majorHAnsi" w:hAnsiTheme="majorHAnsi" w:cstheme="majorHAnsi"/>
                <w:sz w:val="20"/>
                <w:szCs w:val="20"/>
              </w:rPr>
              <w:t>critically important</w:t>
            </w:r>
            <w:r w:rsidRPr="00BC0FCE">
              <w:rPr>
                <w:rStyle w:val="fontstyle01"/>
                <w:rFonts w:asciiTheme="majorHAnsi" w:hAnsiTheme="majorHAnsi" w:cstheme="majorHAnsi"/>
                <w:sz w:val="20"/>
                <w:szCs w:val="20"/>
              </w:rPr>
              <w:t xml:space="preserve"> </w:t>
            </w:r>
            <w:r>
              <w:rPr>
                <w:rStyle w:val="fontstyle01"/>
                <w:rFonts w:asciiTheme="majorHAnsi" w:hAnsiTheme="majorHAnsi" w:cstheme="majorHAnsi"/>
                <w:sz w:val="20"/>
                <w:szCs w:val="20"/>
              </w:rPr>
              <w:t>bifunctional enzyme in humans that catalyzes the formation of all endogenous androgens. With substantial evidence alluding to the reactivation of the androgen signaling axis in metastatic castration resistant prostate cancer, abiraterone was developed as a first in class CYP17A1 inhibitor. Additionally, a downstream steroidal metabolite of abiraterone (∆</w:t>
            </w:r>
            <w:r w:rsidRPr="00436F2E">
              <w:rPr>
                <w:rStyle w:val="fontstyle01"/>
                <w:rFonts w:asciiTheme="majorHAnsi" w:hAnsiTheme="majorHAnsi" w:cstheme="majorHAnsi"/>
                <w:sz w:val="20"/>
                <w:szCs w:val="20"/>
                <w:vertAlign w:val="superscript"/>
              </w:rPr>
              <w:t>4</w:t>
            </w:r>
            <w:r>
              <w:rPr>
                <w:rStyle w:val="fontstyle01"/>
                <w:rFonts w:asciiTheme="majorHAnsi" w:hAnsiTheme="majorHAnsi" w:cstheme="majorHAnsi"/>
                <w:sz w:val="20"/>
                <w:szCs w:val="20"/>
              </w:rPr>
              <w:t xml:space="preserve"> abiraterone or D4A), has also been shown to possess comparable CYP17A1 inhibitory activity.</w:t>
            </w:r>
            <w:r>
              <w:rPr>
                <w:rStyle w:val="fontstyle01"/>
                <w:rFonts w:asciiTheme="majorHAnsi" w:hAnsiTheme="majorHAnsi" w:cstheme="majorHAnsi"/>
                <w:sz w:val="20"/>
                <w:szCs w:val="20"/>
              </w:rPr>
              <w:fldChar w:fldCharType="begin" w:fldLock="1"/>
            </w:r>
            <w:r w:rsidR="00B3664E">
              <w:rPr>
                <w:rStyle w:val="fontstyle01"/>
                <w:rFonts w:asciiTheme="majorHAnsi" w:hAnsiTheme="majorHAnsi" w:cstheme="majorHAnsi"/>
                <w:sz w:val="20"/>
                <w:szCs w:val="20"/>
              </w:rPr>
              <w:instrText>ADDIN CSL_CITATION { "citationItems" : [ { "id" : "ITEM-1", "itemData" : { "DOI" : "10.1038/nature14406", "ISBN" : "1476-4687 (Electronic) 0028-0836 (Linking)", "ISSN" : "1476-4687", "PMID" : "26030522", "abstract" : "Prostate cancer resistance to castration occurs because tumours acquire the metabolic capability of converting precursor steroids to 5\u03b1-dihydrotestosterone (DHT), promoting signalling by the androgen receptor and the development of castration-resistant prostate cancer. Essential for resistance, DHT synthesis from adrenal precursor steroids or possibly from de novo synthesis from cholesterol commonly requires enzymatic reactions by 3\u03b2-hydroxysteroid dehydrogenase (3\u03b2HSD), steroid-5\u03b1-reductase (SRD5A) and 17\u03b2-hydroxysteroid dehydrogenase (17\u03b2HSD) isoenzymes. Abiraterone, a steroidal 17\u03b1-hydroxylase/17,20-lyase (CYP17A1) inhibitor, blocks this synthetic process and prolongs survival. We hypothesized that abiraterone is converted by an enzyme to the more active \u0394(4)-abiraterone (D4A), which blocks multiple steroidogenic enzymes and antagonizes the androgen receptor, providing an additional explanation for abiraterone's clinical activity. Here we show that abiraterone is converted to D4A in mice and patients with prostate cancer. D4A inhibits CYP17A1, 3\u03b2HSD and SRD5A, which are required for DHT synthesis. Furthermore, competitive androgen receptor antagonism by D4A is comparable to the potent antagonist enzalutamide. D4A also has more potent anti-tumour activity against xenograft tumours than abiraterone. Our findings suggest an additional explanation-conversion to a more active agent-for abiraterone's survival extension. We propose that direct treatment with D4A would be more clinically effective than abiraterone treatment.", "author" : [ { "dropping-particle" : "", "family" : "Li", "given" : "Zhenfei", "non-dropping-particle" : "", "parse-names" : false, "suffix" : "" }, { "dropping-particle" : "", "family" : "Bishop", "given" : "Andrew C", "non-dropping-particle" : "", "parse-names" : false, "suffix" : "" }, { "dropping-particle" : "", "family" : "Alyamani", "given" : "Mohammad", "non-dropping-particle" : "", "parse-names" : false, "suffix" : "" }, { "dropping-particle" : "", "family" : "Garcia", "given" : "Jorge A", "non-dropping-particle" : "", "parse-names" : false, "suffix" : "" }, { "dropping-particle" : "", "family" : "Dreicer", "given" : "Robert", "non-dropping-particle" : "", "parse-names" : false, "suffix" : "" }, { "dropping-particle" : "", "family" : "Bunch", "given" : "Dustin", "non-dropping-particle" : "", "parse-names" : false, "suffix" : "" }, { "dropping-particle" : "", "family" : "Liu", "given" : "Jiayan", "non-dropping-particle" : "", "parse-names" : false, "suffix" : "" }, { "dropping-particle" : "", "family" : "Upadhyay", "given" : "Sunil K", "non-dropping-particle" : "", "parse-names" : false, "suffix" : "" }, { "dropping-particle" : "", "family" : "Auchus", "given" : "Richard J", "non-dropping-particle" : "", "parse-names" : false, "suffix" : "" }, { "dropping-particle" : "", "family" : "Sharifi", "given" : "Nima", "non-dropping-particle" : "", "parse-names" : false, "suffix" : "" } ], "container-title" : "Nature", "id" : "ITEM-1", "issue" : "7560", "issued" : { "date-parts" : [ [ "2015" ] ] }, "page" : "347-51", "title" : "Conversion of abiraterone to D4A drives anti-tumour activity in prostate cancer.", "type" : "article-journal", "volume" : "523" }, "uris" : [ "http://www.mendeley.com/documents/?uuid=903a3e4d-d9c3-4f8e-840f-1678beddc262" ] } ], "mendeley" : { "formattedCitation" : "&lt;sup&gt;1&lt;/sup&gt;", "plainTextFormattedCitation" : "1", "previouslyFormattedCitation" : "&lt;sup&gt;1&lt;/sup&gt;" }, "properties" : {  }, "schema" : "https://github.com/citation-style-language/schema/raw/master/csl-citation.json" }</w:instrText>
            </w:r>
            <w:r>
              <w:rPr>
                <w:rStyle w:val="fontstyle01"/>
                <w:rFonts w:asciiTheme="majorHAnsi" w:hAnsiTheme="majorHAnsi" w:cstheme="majorHAnsi"/>
                <w:sz w:val="20"/>
                <w:szCs w:val="20"/>
              </w:rPr>
              <w:fldChar w:fldCharType="separate"/>
            </w:r>
            <w:r w:rsidR="00B3664E" w:rsidRPr="00B3664E">
              <w:rPr>
                <w:rStyle w:val="fontstyle01"/>
                <w:rFonts w:asciiTheme="majorHAnsi" w:hAnsiTheme="majorHAnsi" w:cstheme="majorHAnsi"/>
                <w:noProof/>
                <w:sz w:val="20"/>
                <w:szCs w:val="20"/>
                <w:vertAlign w:val="superscript"/>
              </w:rPr>
              <w:t>1</w:t>
            </w:r>
            <w:r>
              <w:rPr>
                <w:rStyle w:val="fontstyle01"/>
                <w:rFonts w:asciiTheme="majorHAnsi" w:hAnsiTheme="majorHAnsi" w:cstheme="majorHAnsi"/>
                <w:sz w:val="20"/>
                <w:szCs w:val="20"/>
              </w:rPr>
              <w:fldChar w:fldCharType="end"/>
            </w:r>
            <w:r>
              <w:rPr>
                <w:rStyle w:val="fontstyle01"/>
                <w:rFonts w:asciiTheme="majorHAnsi" w:hAnsiTheme="majorHAnsi" w:cstheme="majorHAnsi"/>
                <w:sz w:val="20"/>
                <w:szCs w:val="20"/>
              </w:rPr>
              <w:t xml:space="preserve"> </w:t>
            </w:r>
            <w:r w:rsidR="00452ADA">
              <w:rPr>
                <w:rStyle w:val="fontstyle01"/>
                <w:rFonts w:asciiTheme="majorHAnsi" w:hAnsiTheme="majorHAnsi" w:cstheme="majorHAnsi"/>
                <w:sz w:val="20"/>
                <w:szCs w:val="20"/>
              </w:rPr>
              <w:t>However, p</w:t>
            </w:r>
            <w:r>
              <w:rPr>
                <w:rStyle w:val="fontstyle01"/>
                <w:rFonts w:asciiTheme="majorHAnsi" w:hAnsiTheme="majorHAnsi" w:cstheme="majorHAnsi"/>
                <w:sz w:val="20"/>
                <w:szCs w:val="20"/>
              </w:rPr>
              <w:t xml:space="preserve">revious structural analysis and </w:t>
            </w:r>
            <w:r>
              <w:rPr>
                <w:rStyle w:val="fontstyle01"/>
                <w:rFonts w:asciiTheme="majorHAnsi" w:hAnsiTheme="majorHAnsi" w:cstheme="majorHAnsi"/>
                <w:i/>
                <w:sz w:val="20"/>
                <w:szCs w:val="20"/>
              </w:rPr>
              <w:t xml:space="preserve">in vitro </w:t>
            </w:r>
            <w:r>
              <w:rPr>
                <w:rStyle w:val="fontstyle01"/>
                <w:rFonts w:asciiTheme="majorHAnsi" w:hAnsiTheme="majorHAnsi" w:cstheme="majorHAnsi"/>
                <w:sz w:val="20"/>
                <w:szCs w:val="20"/>
              </w:rPr>
              <w:t>assays investigating the nature and potency of CYP17A1 inhibition by abiraterone and D4A have reported considerable incongruities</w:t>
            </w:r>
            <w:r w:rsidR="00452ADA">
              <w:rPr>
                <w:rStyle w:val="fontstyle01"/>
                <w:rFonts w:asciiTheme="majorHAnsi" w:hAnsiTheme="majorHAnsi" w:cstheme="majorHAnsi"/>
                <w:sz w:val="20"/>
                <w:szCs w:val="20"/>
              </w:rPr>
              <w:t xml:space="preserve">. This underscores </w:t>
            </w:r>
            <w:r>
              <w:rPr>
                <w:rStyle w:val="fontstyle01"/>
                <w:rFonts w:asciiTheme="majorHAnsi" w:hAnsiTheme="majorHAnsi" w:cstheme="majorHAnsi"/>
                <w:sz w:val="20"/>
                <w:szCs w:val="20"/>
              </w:rPr>
              <w:t>the essentiality of</w:t>
            </w:r>
            <w:r w:rsidR="00452ADA">
              <w:rPr>
                <w:rStyle w:val="fontstyle01"/>
                <w:rFonts w:asciiTheme="majorHAnsi" w:hAnsiTheme="majorHAnsi" w:cstheme="majorHAnsi"/>
                <w:sz w:val="20"/>
                <w:szCs w:val="20"/>
              </w:rPr>
              <w:t xml:space="preserve"> conducting</w:t>
            </w:r>
            <w:r>
              <w:rPr>
                <w:rStyle w:val="fontstyle01"/>
                <w:rFonts w:asciiTheme="majorHAnsi" w:hAnsiTheme="majorHAnsi" w:cstheme="majorHAnsi"/>
                <w:sz w:val="20"/>
                <w:szCs w:val="20"/>
              </w:rPr>
              <w:t xml:space="preserve"> detailed biochemical characterization of the drug-target interactions.</w:t>
            </w:r>
            <w:r>
              <w:rPr>
                <w:rStyle w:val="fontstyle01"/>
                <w:rFonts w:asciiTheme="majorHAnsi" w:hAnsiTheme="majorHAnsi" w:cstheme="majorHAnsi"/>
                <w:sz w:val="20"/>
                <w:szCs w:val="20"/>
              </w:rPr>
              <w:fldChar w:fldCharType="begin" w:fldLock="1"/>
            </w:r>
            <w:r w:rsidR="00B3664E">
              <w:rPr>
                <w:rStyle w:val="fontstyle01"/>
                <w:rFonts w:asciiTheme="majorHAnsi" w:hAnsiTheme="majorHAnsi" w:cstheme="majorHAnsi"/>
                <w:sz w:val="20"/>
                <w:szCs w:val="20"/>
              </w:rPr>
              <w:instrText>ADDIN CSL_CITATION { "citationItems" : [ { "id" : "ITEM-1", "itemData" : { "DOI" : "10.1038/nature10743", "ISBN" : "1476-4687 (Electronic) 0028-0836 (Linking)", "ISSN" : "0028-0836", "PMID" : "22266943", "abstract" : "Cytochrome P450 17A1 (also known as CYP17A1 and cytochrome P450c17) catalyses the biosynthesis of androgens in humans. As prostate cancer cells proliferate in response to androgen steroids, CYP17A1 inhibition is a new strategy to prevent androgen synthesis and treat lethal metastatic castration-resistant prostate cancer, but drug development has been hampered by lack of information regarding the structure of CYP17A1. Here we report X-ray crystal structures of CYP17A1, which were obtained in the presence of either abiraterone, a first-in-class steroidal inhibitor recently approved by the US Food and Drug Administration for late-stage prostate cancer, or TOK-001, an inhibitor that is currently undergoing clinical trials. Both of these inhibitors bind the haem iron, forming a 60\u00b0 angle above the haem plane and packing against the central I helix with the 3\u03b2-OH interacting with aspargine 202 in the F helix. Notably, this binding mode differs substantially from those that are predicted by homology models and from steroids in other cytochrome P450 enzymes with known structures, and some features of this binding mode are more similar to steroid receptors. Whereas the overall structure of CYP17A1 provides a rationale for understanding many mutations that are found in patients with steroidogenic diseases, the active site reveals multiple steric and hydrogen bonding features that will facilitate a better understanding of the enzyme's dual hydroxylase and lyase catalytic capabilities and assist in rational drug design. Specifically, structure-based design is expected to aid development of inhibitors that bind only CYP17A1 and solely inhibit its androgen-generating lyase activity to improve treatment of prostate and other hormone-responsive cancers.", "author" : [ { "dropping-particle" : "", "family" : "DeVore", "given" : "Natasha M.", "non-dropping-particle" : "", "parse-names" : false, "suffix" : "" }, { "dropping-particle" : "", "family" : "Scott", "given" : "Emily E.", "non-dropping-particle" : "", "parse-names" : false, "suffix" : "" } ], "container-title" : "Nature", "id" : "ITEM-1", "issue" : "7383", "issued" : { "date-parts" : [ [ "2012" ] ] }, "page" : "116-119", "publisher" : "Nature Publishing Group", "title" : "Structures of cytochrome P450 17A1 with prostate cancer drugs abiraterone and TOK-001", "type" : "article-journal", "volume" : "482" }, "uris" : [ "http://www.mendeley.com/documents/?uuid=8fee508c-1a55-4599-ae02-60adadc8bad1" ] }, { "id" : "ITEM-2", "itemData" : { "DOI" : "10.1021/jm981017j", "ISBN" : "0022-2623 (Print)\\n0022-2623 (Linking)", "ISSN" : "0022-2623", "PMID" : "9876107", "abstract" : "Abiraterone (17-(3-pyridyl)androsta-5,16-dien-3beta-ol, 1) is a potent inhibitor (IC50 4 nM for hydroxylase) of human cytochrome P45017alpha. To assist in studies of the role of the 16,17-double bond in its mechanism of action, the novel 17alpha-(4-pyridyl)androst-5-en-3beta-ol (5) and 17beta-(3-pyridyl)-16,17alpha-epoxy-5alpha-androst-3beta-ol (6) were synthesized. 3beta-Acetoxyetienic acid was converted in three steps into 5 via photolysis of the thiohydroxamic ester 8. Oxidation of an appropriate 16,17-unsaturated precursor (21) with CrO3-pyridine afforded the acetate (23) of 6. Inhibition of the enzyme by 1, the similarly potent 5,6-reduced analogue 19 (IC50 5 nM), and the 4, 16-dien-3-one 26 (IC50 3 nM) and by the less potent (IC50 13 nM) 3,5, 16-triene 25 is slow to occur but is enhanced by preincubation of the inhibitor with the enzyme. Inhibition following preincubation with these compounds is not lessened by dialysis for 24 h, implying irreversible binding to the enzyme. In contrast under these conditions the still potent (IC50 27 nM) 17alpha-(4-pyridyl)androst-5-en-3beta-ol (5) showed partial reversal after 5 h of dialysis and complete reversal of inhibition after 24 h. This behavior was also shown by the less potent 16,17-reduced 3-pyridyl compounds 3 and 24. Further, in contrast to the compounds (1, 19, 25, 26) with the 16,17-double bond, the inhibition of the enzymic reaction was not enhanced by preincubation either with 5 or with the 17beta-pyridyl analogues 3, 4, and 24 which also lack this structural feature. The results show that the 16,17-double bond is necessary for irreversible binding of these pyridyl steroids to cytochrome P45017alpha. However oxidation to an epoxide is probably not involved since epoxide 6 was only a moderately potent inhibitor (IC50 260 nM).", "author" : [ { "dropping-particle" : "", "family" : "Jarman", "given" : "Michael", "non-dropping-particle" : "", "parse-names" : false, "suffix" : "" }, { "dropping-particle" : "", "family" : "Barrie", "given" : "S Elaine", "non-dropping-particle" : "", "parse-names" : false, "suffix" : "" }, { "dropping-particle" : "", "family" : "Llera", "given" : "Jose M.", "non-dropping-particle" : "", "parse-names" : false, "suffix" : "" } ], "container-title" : "Journal of medicinal chemistry", "id" : "ITEM-2", "issue" : "27", "issued" : { "date-parts" : [ [ "1998" ] ] }, "note" : "NULL", "page" : "5375-5381", "publisher" : "American Chemical Society", "title" : "The 16,17-double bond is needed for irreversible inhibition of human cytochrome p45017alpha by abiraterone (17-(3-pyridyl)androsta-5,16-dien-3beta-ol, 1) and related steroidal inhibitors", "type" : "article-journal", "volume" : "41" }, "uris" : [ "http://www.mendeley.com/documents/?uuid=f162a38e-aa08-3307-a3a7-7ea3f2d0b48e" ] }, { "id" : "ITEM-3", "itemData" : { "DOI" : "10.1016/j.jsbmb.2014.01.013", "ISSN" : "18791220", "PMID" : "24508512", "abstract" : "Abiraterone acetate is a potent inhibitor of human cytochrome P450c17 (CYP17A1, 17??-hydroxylase/17,20-lyase) and is clinically used in combination with prednisone for the treatment of castration-resistant prostate cancer. Although many studies have documented the potency of abiraterone (Abi) in a variety of in vitro and in vivo systems for several species, the exact potency of Abi for human CYP17A1 enzyme has not yet been determined, and the structural requirements for high-potency steroidal azole inhibitors are not established. We synthesized 4 Abi analogs differing in the A-B ring substitution patterns: 3??-hydroxy-??4-Abi (13), 3-keto- ??4-Abi (11), 3-keto-5??-Abi (6), and 3??-hydroxy- 5??-Abi (5). We measured the spectral binding constants (Ks) using purified and modified human CYP17A1 along with the determination constants (Ki) applying a native human CYP17A1 enzyme in yeast microsomes for these compounds as well as for ketoconazole. For Abi, 3-keto- ??4-Abi, 3-keto-5??-Abi, and 3??-hydroxy-5??-Abi, the type 2 spectral changes gave the best fit for a quadratic equation, since in these experiments Ks values were 0.1-2.6 nM, much lower than that for ketoconazole and 3??-hydroxy-??4-Abi (Ks values were 140 and 1660 nM, respectively). Inhibition experiments showed mixed inhibition patterns with Ki values of 7-80 nM. Abi dissociation from the CYP17A1-Abi complex was incomplete and slow; the t1/2 for dissociation was 1.8 h, with 55% of complex remaining after 5 h. We conclude that Abi and the 3 related steroidal azoles (3-keto-??4-Abi, 3-keto-5??-Abi, and 3??-hydroxy-5??-Abi), which also mimic natural substrates, are extraordinarily potent inhibitors of human CYP17A1, whereas the 3??-hydroxy-??4-Abi is moderately potent and comparable to ketoconazole. ?? 2014 Elsevier Ltd.", "author" : [ { "dropping-particle" : "", "family" : "Garrido", "given" : "Mariana", "non-dropping-particle" : "", "parse-names" : false, "suffix" : "" }, { "dropping-particle" : "", "family" : "Peng", "given" : "Hwei Ming", "non-dropping-particle" : "", "parse-names" : false, "suffix" : "" }, { "dropping-particle" : "", "family" : "Yoshimoto", "given" : "Francis K.", "non-dropping-particle" : "", "parse-names" : false, "suffix" : "" }, { "dropping-particle" : "", "family" : "Upadhyay", "given" : "Sunil K.", "non-dropping-particle" : "", "parse-names" : false, "suffix" : "" }, { "dropping-particle" : "", "family" : "Bratoeff", "given" : "Eugene", "non-dropping-particle" : "", "parse-names" : false, "suffix" : "" }, { "dropping-particle" : "", "family" : "Auchus", "given" : "Richard J.", "non-dropping-particle" : "", "parse-names" : false, "suffix" : "" } ], "container-title" : "Journal of Steroid Biochemistry and Molecular Biology", "id" : "ITEM-3", "issued" : { "date-parts" : [ [ "2014" ] ] }, "page" : "1-10", "publisher" : "Elsevier Ltd", "title" : "A-ring modified steroidal azoles retaining similar potent and slowly reversible CYP17A1 inhibition as abiraterone", "type" : "article-journal", "volume" : "143" }, "uris" : [ "http://www.mendeley.com/documents/?uuid=12199fe8-bb93-47fd-8411-b3585544cc7c" ] } ], "mendeley" : { "formattedCitation" : "&lt;sup&gt;2\u20134&lt;/sup&gt;", "plainTextFormattedCitation" : "2\u20134", "previouslyFormattedCitation" : "&lt;sup&gt;2\u20134&lt;/sup&gt;" }, "properties" : {  }, "schema" : "https://github.com/citation-style-language/schema/raw/master/csl-citation.json" }</w:instrText>
            </w:r>
            <w:r>
              <w:rPr>
                <w:rStyle w:val="fontstyle01"/>
                <w:rFonts w:asciiTheme="majorHAnsi" w:hAnsiTheme="majorHAnsi" w:cstheme="majorHAnsi"/>
                <w:sz w:val="20"/>
                <w:szCs w:val="20"/>
              </w:rPr>
              <w:fldChar w:fldCharType="separate"/>
            </w:r>
            <w:r w:rsidR="00B3664E" w:rsidRPr="00B3664E">
              <w:rPr>
                <w:rStyle w:val="fontstyle01"/>
                <w:rFonts w:asciiTheme="majorHAnsi" w:hAnsiTheme="majorHAnsi" w:cstheme="majorHAnsi"/>
                <w:noProof/>
                <w:sz w:val="20"/>
                <w:szCs w:val="20"/>
                <w:vertAlign w:val="superscript"/>
              </w:rPr>
              <w:t>2–4</w:t>
            </w:r>
            <w:r>
              <w:rPr>
                <w:rStyle w:val="fontstyle01"/>
                <w:rFonts w:asciiTheme="majorHAnsi" w:hAnsiTheme="majorHAnsi" w:cstheme="majorHAnsi"/>
                <w:sz w:val="20"/>
                <w:szCs w:val="20"/>
              </w:rPr>
              <w:fldChar w:fldCharType="end"/>
            </w:r>
            <w:r>
              <w:rPr>
                <w:rStyle w:val="fontstyle01"/>
                <w:rFonts w:asciiTheme="majorHAnsi" w:hAnsiTheme="majorHAnsi" w:cstheme="majorHAnsi"/>
                <w:sz w:val="20"/>
                <w:szCs w:val="20"/>
              </w:rPr>
              <w:t xml:space="preserve"> </w:t>
            </w:r>
            <w:r w:rsidRPr="00464EAA">
              <w:rPr>
                <w:rStyle w:val="fontstyle01"/>
                <w:rFonts w:asciiTheme="majorHAnsi" w:hAnsiTheme="majorHAnsi" w:cstheme="majorHAnsi"/>
                <w:sz w:val="20"/>
                <w:szCs w:val="20"/>
              </w:rPr>
              <w:t>We hypothesized that abiraterone and D4A are slow, tight-binding inhibitors of CYP17A1.</w:t>
            </w:r>
            <w:r>
              <w:rPr>
                <w:rStyle w:val="fontstyle01"/>
                <w:rFonts w:asciiTheme="majorHAnsi" w:hAnsiTheme="majorHAnsi" w:cstheme="majorHAnsi"/>
                <w:sz w:val="20"/>
                <w:szCs w:val="20"/>
              </w:rPr>
              <w:t xml:space="preserve"> P</w:t>
            </w:r>
            <w:r w:rsidRPr="000C49DD">
              <w:rPr>
                <w:rStyle w:val="fontstyle01"/>
                <w:rFonts w:asciiTheme="majorHAnsi" w:hAnsiTheme="majorHAnsi" w:cstheme="majorHAnsi"/>
                <w:sz w:val="20"/>
                <w:szCs w:val="20"/>
              </w:rPr>
              <w:t>re-incubation</w:t>
            </w:r>
            <w:r w:rsidRPr="000C49DD">
              <w:rPr>
                <w:rFonts w:asciiTheme="majorHAnsi" w:hAnsiTheme="majorHAnsi" w:cstheme="majorHAnsi"/>
                <w:color w:val="000000"/>
                <w:sz w:val="20"/>
                <w:szCs w:val="20"/>
              </w:rPr>
              <w:t xml:space="preserve"> </w:t>
            </w:r>
            <w:r w:rsidRPr="000C49DD">
              <w:rPr>
                <w:rStyle w:val="fontstyle01"/>
                <w:rFonts w:asciiTheme="majorHAnsi" w:hAnsiTheme="majorHAnsi" w:cstheme="majorHAnsi"/>
                <w:sz w:val="20"/>
                <w:szCs w:val="20"/>
              </w:rPr>
              <w:t xml:space="preserve">time-dependent inhibition assays using progesterone and 17α-hydroxypregnenolone as probe substrates for the </w:t>
            </w:r>
            <w:r>
              <w:rPr>
                <w:rStyle w:val="fontstyle01"/>
                <w:rFonts w:asciiTheme="majorHAnsi" w:hAnsiTheme="majorHAnsi" w:cstheme="majorHAnsi"/>
                <w:sz w:val="20"/>
                <w:szCs w:val="20"/>
              </w:rPr>
              <w:t>17α-hydroxylase</w:t>
            </w:r>
            <w:r w:rsidRPr="000C49DD">
              <w:rPr>
                <w:rStyle w:val="fontstyle01"/>
                <w:rFonts w:asciiTheme="majorHAnsi" w:hAnsiTheme="majorHAnsi" w:cstheme="majorHAnsi"/>
                <w:sz w:val="20"/>
                <w:szCs w:val="20"/>
              </w:rPr>
              <w:t xml:space="preserve"> and C17,20-lyase reactions</w:t>
            </w:r>
            <w:r w:rsidRPr="000C49DD">
              <w:rPr>
                <w:rFonts w:asciiTheme="majorHAnsi" w:hAnsiTheme="majorHAnsi" w:cstheme="majorHAnsi"/>
                <w:color w:val="000000"/>
                <w:sz w:val="20"/>
                <w:szCs w:val="20"/>
              </w:rPr>
              <w:t xml:space="preserve"> </w:t>
            </w:r>
            <w:r w:rsidRPr="000C49DD">
              <w:rPr>
                <w:rStyle w:val="fontstyle01"/>
                <w:rFonts w:asciiTheme="majorHAnsi" w:hAnsiTheme="majorHAnsi" w:cstheme="majorHAnsi"/>
                <w:sz w:val="20"/>
                <w:szCs w:val="20"/>
              </w:rPr>
              <w:t>were conducted to determine the first-order rate constants</w:t>
            </w:r>
            <w:r w:rsidRPr="000C49DD">
              <w:rPr>
                <w:rFonts w:asciiTheme="majorHAnsi" w:hAnsiTheme="majorHAnsi" w:cstheme="majorHAnsi"/>
                <w:color w:val="000000"/>
                <w:sz w:val="20"/>
                <w:szCs w:val="20"/>
              </w:rPr>
              <w:t xml:space="preserve"> </w:t>
            </w:r>
            <w:r w:rsidRPr="000C49DD">
              <w:rPr>
                <w:rStyle w:val="fontstyle01"/>
                <w:rFonts w:asciiTheme="majorHAnsi" w:hAnsiTheme="majorHAnsi" w:cstheme="majorHAnsi"/>
                <w:sz w:val="20"/>
                <w:szCs w:val="20"/>
              </w:rPr>
              <w:t xml:space="preserve">for </w:t>
            </w:r>
            <w:r>
              <w:rPr>
                <w:rStyle w:val="fontstyle01"/>
                <w:rFonts w:asciiTheme="majorHAnsi" w:hAnsiTheme="majorHAnsi" w:cstheme="majorHAnsi"/>
                <w:sz w:val="20"/>
                <w:szCs w:val="20"/>
              </w:rPr>
              <w:t xml:space="preserve">onset of </w:t>
            </w:r>
            <w:r w:rsidRPr="000C49DD">
              <w:rPr>
                <w:rStyle w:val="fontstyle01"/>
                <w:rFonts w:asciiTheme="majorHAnsi" w:hAnsiTheme="majorHAnsi" w:cstheme="majorHAnsi"/>
                <w:sz w:val="20"/>
                <w:szCs w:val="20"/>
              </w:rPr>
              <w:t>enzyme inhibition (</w:t>
            </w:r>
            <w:r w:rsidRPr="000C49DD">
              <w:rPr>
                <w:rStyle w:val="fontstyle21"/>
                <w:rFonts w:asciiTheme="majorHAnsi" w:hAnsiTheme="majorHAnsi" w:cstheme="majorHAnsi"/>
                <w:sz w:val="20"/>
                <w:szCs w:val="20"/>
              </w:rPr>
              <w:t>k</w:t>
            </w:r>
            <w:r w:rsidRPr="00AD3863">
              <w:rPr>
                <w:rStyle w:val="fontstyle21"/>
                <w:rFonts w:asciiTheme="majorHAnsi" w:hAnsiTheme="majorHAnsi" w:cstheme="majorHAnsi"/>
                <w:sz w:val="20"/>
                <w:szCs w:val="20"/>
                <w:vertAlign w:val="subscript"/>
              </w:rPr>
              <w:t>obs</w:t>
            </w:r>
            <w:r w:rsidRPr="000C49DD">
              <w:rPr>
                <w:rStyle w:val="fontstyle01"/>
                <w:rFonts w:asciiTheme="majorHAnsi" w:hAnsiTheme="majorHAnsi" w:cstheme="majorHAnsi"/>
                <w:sz w:val="20"/>
                <w:szCs w:val="20"/>
              </w:rPr>
              <w:t>). Next, concentration-response plots of</w:t>
            </w:r>
            <w:r w:rsidRPr="000C49DD">
              <w:rPr>
                <w:rFonts w:asciiTheme="majorHAnsi" w:hAnsiTheme="majorHAnsi" w:cstheme="majorHAnsi"/>
                <w:color w:val="000000"/>
                <w:sz w:val="20"/>
                <w:szCs w:val="20"/>
              </w:rPr>
              <w:t xml:space="preserve"> </w:t>
            </w:r>
            <w:r w:rsidRPr="000C49DD">
              <w:rPr>
                <w:rStyle w:val="fontstyle01"/>
                <w:rFonts w:asciiTheme="majorHAnsi" w:hAnsiTheme="majorHAnsi" w:cstheme="majorHAnsi"/>
                <w:sz w:val="20"/>
                <w:szCs w:val="20"/>
              </w:rPr>
              <w:t>fractional velocity against inhibitor concentration</w:t>
            </w:r>
            <w:r>
              <w:rPr>
                <w:rStyle w:val="fontstyle01"/>
                <w:rFonts w:asciiTheme="majorHAnsi" w:hAnsiTheme="majorHAnsi" w:cstheme="majorHAnsi"/>
                <w:sz w:val="20"/>
                <w:szCs w:val="20"/>
              </w:rPr>
              <w:t xml:space="preserve"> allowed derivation of the apparent dissociation constants (</w:t>
            </w:r>
            <w:r w:rsidRPr="00446F24">
              <w:rPr>
                <w:rStyle w:val="fontstyle01"/>
                <w:rFonts w:asciiTheme="majorHAnsi" w:hAnsiTheme="majorHAnsi" w:cstheme="majorHAnsi"/>
                <w:i/>
                <w:sz w:val="20"/>
                <w:szCs w:val="20"/>
              </w:rPr>
              <w:t>K</w:t>
            </w:r>
            <w:r w:rsidRPr="00446F24">
              <w:rPr>
                <w:rStyle w:val="fontstyle01"/>
                <w:rFonts w:asciiTheme="majorHAnsi" w:hAnsiTheme="majorHAnsi" w:cstheme="majorHAnsi"/>
                <w:i/>
                <w:sz w:val="20"/>
                <w:szCs w:val="20"/>
                <w:vertAlign w:val="subscript"/>
              </w:rPr>
              <w:t>i</w:t>
            </w:r>
            <w:r w:rsidRPr="00446F24">
              <w:rPr>
                <w:rStyle w:val="fontstyle01"/>
                <w:rFonts w:asciiTheme="majorHAnsi" w:hAnsiTheme="majorHAnsi" w:cstheme="majorHAnsi"/>
                <w:i/>
                <w:sz w:val="20"/>
                <w:szCs w:val="20"/>
              </w:rPr>
              <w:t>,app</w:t>
            </w:r>
            <w:r>
              <w:rPr>
                <w:rStyle w:val="fontstyle01"/>
                <w:rFonts w:asciiTheme="majorHAnsi" w:hAnsiTheme="majorHAnsi" w:cstheme="majorHAnsi"/>
                <w:sz w:val="20"/>
                <w:szCs w:val="20"/>
              </w:rPr>
              <w:t xml:space="preserve">) for the initial CYP17A1-inhibitor complexes, which was subsequently corrected for the mode of </w:t>
            </w:r>
            <w:r w:rsidRPr="000C49DD">
              <w:rPr>
                <w:rStyle w:val="fontstyle01"/>
                <w:rFonts w:asciiTheme="majorHAnsi" w:hAnsiTheme="majorHAnsi" w:cstheme="majorHAnsi"/>
                <w:sz w:val="20"/>
                <w:szCs w:val="20"/>
              </w:rPr>
              <w:t>inhibition</w:t>
            </w:r>
            <w:r>
              <w:rPr>
                <w:rStyle w:val="fontstyle01"/>
                <w:rFonts w:asciiTheme="majorHAnsi" w:hAnsiTheme="majorHAnsi" w:cstheme="majorHAnsi"/>
                <w:sz w:val="20"/>
                <w:szCs w:val="20"/>
              </w:rPr>
              <w:t xml:space="preserve"> to obtain </w:t>
            </w:r>
            <w:r w:rsidRPr="00255996">
              <w:rPr>
                <w:rStyle w:val="fontstyle01"/>
                <w:rFonts w:asciiTheme="majorHAnsi" w:hAnsiTheme="majorHAnsi" w:cstheme="majorHAnsi"/>
                <w:i/>
                <w:sz w:val="20"/>
                <w:szCs w:val="20"/>
              </w:rPr>
              <w:t>K</w:t>
            </w:r>
            <w:r w:rsidRPr="00255996">
              <w:rPr>
                <w:rStyle w:val="fontstyle01"/>
                <w:rFonts w:asciiTheme="majorHAnsi" w:hAnsiTheme="majorHAnsi" w:cstheme="majorHAnsi"/>
                <w:i/>
                <w:sz w:val="20"/>
                <w:szCs w:val="20"/>
                <w:vertAlign w:val="subscript"/>
              </w:rPr>
              <w:t>i</w:t>
            </w:r>
            <w:r w:rsidRPr="000C49DD">
              <w:rPr>
                <w:rStyle w:val="fontstyle01"/>
                <w:rFonts w:asciiTheme="majorHAnsi" w:hAnsiTheme="majorHAnsi" w:cstheme="majorHAnsi"/>
                <w:sz w:val="20"/>
                <w:szCs w:val="20"/>
              </w:rPr>
              <w:t xml:space="preserve">. </w:t>
            </w:r>
            <w:r>
              <w:rPr>
                <w:rStyle w:val="fontstyle01"/>
                <w:rFonts w:asciiTheme="majorHAnsi" w:hAnsiTheme="majorHAnsi" w:cstheme="majorHAnsi"/>
                <w:sz w:val="20"/>
                <w:szCs w:val="20"/>
              </w:rPr>
              <w:t>Finally, regression analyses were performed</w:t>
            </w:r>
            <w:r w:rsidRPr="000C49DD">
              <w:rPr>
                <w:rStyle w:val="fontstyle01"/>
                <w:rFonts w:asciiTheme="majorHAnsi" w:hAnsiTheme="majorHAnsi" w:cstheme="majorHAnsi"/>
                <w:sz w:val="20"/>
                <w:szCs w:val="20"/>
              </w:rPr>
              <w:t xml:space="preserve"> to elucidate the true inhibitory potential (</w:t>
            </w:r>
            <w:r w:rsidRPr="000C49DD">
              <w:rPr>
                <w:rStyle w:val="fontstyle21"/>
                <w:rFonts w:asciiTheme="majorHAnsi" w:hAnsiTheme="majorHAnsi" w:cstheme="majorHAnsi"/>
                <w:sz w:val="20"/>
                <w:szCs w:val="20"/>
              </w:rPr>
              <w:t>K</w:t>
            </w:r>
            <w:r w:rsidRPr="006D59F3">
              <w:rPr>
                <w:rStyle w:val="fontstyle21"/>
                <w:rFonts w:asciiTheme="majorHAnsi" w:hAnsiTheme="majorHAnsi" w:cstheme="majorHAnsi"/>
                <w:sz w:val="20"/>
                <w:szCs w:val="20"/>
                <w:vertAlign w:val="subscript"/>
              </w:rPr>
              <w:t>i</w:t>
            </w:r>
            <w:r w:rsidRPr="00177F51">
              <w:rPr>
                <w:rStyle w:val="fontstyle21"/>
                <w:rFonts w:asciiTheme="majorHAnsi" w:hAnsiTheme="majorHAnsi" w:cstheme="majorHAnsi"/>
                <w:sz w:val="20"/>
                <w:szCs w:val="20"/>
                <w:vertAlign w:val="superscript"/>
              </w:rPr>
              <w:t>*</w:t>
            </w:r>
            <w:r w:rsidRPr="000C49DD">
              <w:rPr>
                <w:rStyle w:val="fontstyle01"/>
                <w:rFonts w:asciiTheme="majorHAnsi" w:hAnsiTheme="majorHAnsi" w:cstheme="majorHAnsi"/>
                <w:sz w:val="20"/>
                <w:szCs w:val="20"/>
              </w:rPr>
              <w:t>) and</w:t>
            </w:r>
            <w:r w:rsidRPr="000C49DD">
              <w:rPr>
                <w:rFonts w:asciiTheme="majorHAnsi" w:hAnsiTheme="majorHAnsi" w:cstheme="majorHAnsi"/>
                <w:color w:val="000000"/>
                <w:sz w:val="20"/>
                <w:szCs w:val="20"/>
              </w:rPr>
              <w:t xml:space="preserve"> </w:t>
            </w:r>
            <w:r w:rsidRPr="000C49DD">
              <w:rPr>
                <w:rStyle w:val="fontstyle01"/>
                <w:rFonts w:asciiTheme="majorHAnsi" w:hAnsiTheme="majorHAnsi" w:cstheme="majorHAnsi"/>
                <w:sz w:val="20"/>
                <w:szCs w:val="20"/>
              </w:rPr>
              <w:t xml:space="preserve">dissociation half-life of </w:t>
            </w:r>
            <w:r>
              <w:rPr>
                <w:rStyle w:val="fontstyle01"/>
                <w:rFonts w:asciiTheme="majorHAnsi" w:hAnsiTheme="majorHAnsi" w:cstheme="majorHAnsi"/>
                <w:sz w:val="20"/>
                <w:szCs w:val="20"/>
              </w:rPr>
              <w:t>CYP17A1</w:t>
            </w:r>
            <w:r w:rsidRPr="000C49DD">
              <w:rPr>
                <w:rStyle w:val="fontstyle01"/>
                <w:rFonts w:asciiTheme="majorHAnsi" w:hAnsiTheme="majorHAnsi" w:cstheme="majorHAnsi"/>
                <w:sz w:val="20"/>
                <w:szCs w:val="20"/>
              </w:rPr>
              <w:t>-inhibitor complexes.</w:t>
            </w:r>
            <w:r>
              <w:rPr>
                <w:rFonts w:asciiTheme="majorHAnsi" w:hAnsiTheme="majorHAnsi" w:cstheme="majorHAnsi"/>
                <w:color w:val="000000"/>
                <w:sz w:val="20"/>
                <w:szCs w:val="20"/>
              </w:rPr>
              <w:t xml:space="preserve"> </w:t>
            </w:r>
            <w:r>
              <w:rPr>
                <w:rStyle w:val="fontstyle01"/>
                <w:rFonts w:asciiTheme="majorHAnsi" w:hAnsiTheme="majorHAnsi" w:cstheme="majorHAnsi"/>
                <w:sz w:val="20"/>
                <w:szCs w:val="20"/>
              </w:rPr>
              <w:t xml:space="preserve">The observed hyperbolic dependence of </w:t>
            </w:r>
            <w:r w:rsidRPr="00921EF2">
              <w:rPr>
                <w:rStyle w:val="fontstyle01"/>
                <w:rFonts w:asciiTheme="majorHAnsi" w:hAnsiTheme="majorHAnsi" w:cstheme="majorHAnsi"/>
                <w:i/>
                <w:sz w:val="20"/>
                <w:szCs w:val="20"/>
              </w:rPr>
              <w:t>k</w:t>
            </w:r>
            <w:r w:rsidRPr="00921EF2">
              <w:rPr>
                <w:rStyle w:val="fontstyle01"/>
                <w:rFonts w:asciiTheme="majorHAnsi" w:hAnsiTheme="majorHAnsi" w:cstheme="majorHAnsi"/>
                <w:i/>
                <w:sz w:val="20"/>
                <w:szCs w:val="20"/>
                <w:vertAlign w:val="subscript"/>
              </w:rPr>
              <w:t>obs</w:t>
            </w:r>
            <w:r>
              <w:rPr>
                <w:rStyle w:val="fontstyle01"/>
                <w:rFonts w:asciiTheme="majorHAnsi" w:hAnsiTheme="majorHAnsi" w:cstheme="majorHAnsi"/>
                <w:sz w:val="20"/>
                <w:szCs w:val="20"/>
              </w:rPr>
              <w:t xml:space="preserve"> on abiraterone/D4A concentration affirmed the slow onset of inhibition, with initial weak binding (EI) preceding the subsequent slow isomerization to a final high affinity EI</w:t>
            </w:r>
            <w:r w:rsidRPr="00177F51">
              <w:rPr>
                <w:rStyle w:val="fontstyle01"/>
                <w:rFonts w:asciiTheme="majorHAnsi" w:hAnsiTheme="majorHAnsi" w:cstheme="majorHAnsi"/>
                <w:sz w:val="20"/>
                <w:szCs w:val="20"/>
                <w:vertAlign w:val="superscript"/>
              </w:rPr>
              <w:t>*</w:t>
            </w:r>
            <w:r>
              <w:rPr>
                <w:rStyle w:val="fontstyle01"/>
                <w:rFonts w:asciiTheme="majorHAnsi" w:hAnsiTheme="majorHAnsi" w:cstheme="majorHAnsi"/>
                <w:sz w:val="20"/>
                <w:szCs w:val="20"/>
              </w:rPr>
              <w:t xml:space="preserve"> complex. A</w:t>
            </w:r>
            <w:r>
              <w:rPr>
                <w:rFonts w:asciiTheme="majorHAnsi" w:hAnsiTheme="majorHAnsi" w:cstheme="majorHAnsi"/>
                <w:color w:val="000000"/>
                <w:sz w:val="20"/>
                <w:szCs w:val="20"/>
              </w:rPr>
              <w:t>ssessment</w:t>
            </w:r>
            <w:r w:rsidRPr="000C49DD">
              <w:rPr>
                <w:rStyle w:val="fontstyle01"/>
                <w:rFonts w:asciiTheme="majorHAnsi" w:hAnsiTheme="majorHAnsi" w:cstheme="majorHAnsi"/>
                <w:sz w:val="20"/>
                <w:szCs w:val="20"/>
              </w:rPr>
              <w:t xml:space="preserve"> of</w:t>
            </w:r>
            <w:r>
              <w:rPr>
                <w:rStyle w:val="fontstyle01"/>
                <w:rFonts w:asciiTheme="majorHAnsi" w:hAnsiTheme="majorHAnsi" w:cstheme="majorHAnsi"/>
                <w:sz w:val="20"/>
                <w:szCs w:val="20"/>
              </w:rPr>
              <w:t xml:space="preserve"> the overall</w:t>
            </w:r>
            <w:r w:rsidRPr="000C49DD">
              <w:rPr>
                <w:rStyle w:val="fontstyle01"/>
                <w:rFonts w:asciiTheme="majorHAnsi" w:hAnsiTheme="majorHAnsi" w:cstheme="majorHAnsi"/>
                <w:sz w:val="20"/>
                <w:szCs w:val="20"/>
              </w:rPr>
              <w:t xml:space="preserve"> </w:t>
            </w:r>
            <w:r w:rsidRPr="000C49DD">
              <w:rPr>
                <w:rStyle w:val="fontstyle21"/>
                <w:rFonts w:asciiTheme="majorHAnsi" w:hAnsiTheme="majorHAnsi" w:cstheme="majorHAnsi"/>
                <w:sz w:val="20"/>
                <w:szCs w:val="20"/>
              </w:rPr>
              <w:t>K</w:t>
            </w:r>
            <w:r w:rsidRPr="006D59F3">
              <w:rPr>
                <w:rStyle w:val="fontstyle21"/>
                <w:rFonts w:asciiTheme="majorHAnsi" w:hAnsiTheme="majorHAnsi" w:cstheme="majorHAnsi"/>
                <w:sz w:val="20"/>
                <w:szCs w:val="20"/>
                <w:vertAlign w:val="subscript"/>
              </w:rPr>
              <w:t>i</w:t>
            </w:r>
            <w:r w:rsidRPr="00177F51">
              <w:rPr>
                <w:rStyle w:val="fontstyle21"/>
                <w:rFonts w:asciiTheme="majorHAnsi" w:hAnsiTheme="majorHAnsi" w:cstheme="majorHAnsi"/>
                <w:sz w:val="20"/>
                <w:szCs w:val="20"/>
                <w:vertAlign w:val="superscript"/>
              </w:rPr>
              <w:t>*</w:t>
            </w:r>
            <w:r>
              <w:rPr>
                <w:rStyle w:val="fontstyle21"/>
                <w:rFonts w:asciiTheme="majorHAnsi" w:hAnsiTheme="majorHAnsi" w:cstheme="majorHAnsi"/>
                <w:sz w:val="20"/>
                <w:szCs w:val="20"/>
              </w:rPr>
              <w:t xml:space="preserve"> </w:t>
            </w:r>
            <w:r w:rsidRPr="000C49DD">
              <w:rPr>
                <w:rStyle w:val="fontstyle01"/>
                <w:rFonts w:asciiTheme="majorHAnsi" w:hAnsiTheme="majorHAnsi" w:cstheme="majorHAnsi"/>
                <w:sz w:val="20"/>
                <w:szCs w:val="20"/>
              </w:rPr>
              <w:t>revealed</w:t>
            </w:r>
            <w:r w:rsidRPr="000C49DD">
              <w:rPr>
                <w:rFonts w:asciiTheme="majorHAnsi" w:hAnsiTheme="majorHAnsi" w:cstheme="majorHAnsi"/>
                <w:color w:val="000000"/>
                <w:sz w:val="20"/>
                <w:szCs w:val="20"/>
              </w:rPr>
              <w:t xml:space="preserve"> </w:t>
            </w:r>
            <w:r w:rsidRPr="003D455B">
              <w:rPr>
                <w:rFonts w:asciiTheme="majorHAnsi" w:hAnsiTheme="majorHAnsi" w:cstheme="majorHAnsi"/>
                <w:color w:val="000000"/>
                <w:sz w:val="20"/>
                <w:szCs w:val="20"/>
              </w:rPr>
              <w:t>significant (&gt;50-fold) inc</w:t>
            </w:r>
            <w:r>
              <w:rPr>
                <w:rFonts w:asciiTheme="majorHAnsi" w:hAnsiTheme="majorHAnsi" w:cstheme="majorHAnsi"/>
                <w:color w:val="000000"/>
                <w:sz w:val="20"/>
                <w:szCs w:val="20"/>
              </w:rPr>
              <w:t>reases in inhibitory potencies compared to</w:t>
            </w:r>
            <w:r w:rsidRPr="003D455B">
              <w:rPr>
                <w:rFonts w:asciiTheme="majorHAnsi" w:hAnsiTheme="majorHAnsi" w:cstheme="majorHAnsi"/>
                <w:color w:val="000000"/>
                <w:sz w:val="20"/>
                <w:szCs w:val="20"/>
              </w:rPr>
              <w:t xml:space="preserve"> </w:t>
            </w:r>
            <w:r w:rsidRPr="00177F51">
              <w:rPr>
                <w:rFonts w:asciiTheme="majorHAnsi" w:hAnsiTheme="majorHAnsi" w:cstheme="majorHAnsi"/>
                <w:i/>
                <w:color w:val="000000"/>
                <w:sz w:val="20"/>
                <w:szCs w:val="20"/>
              </w:rPr>
              <w:t>K</w:t>
            </w:r>
            <w:r w:rsidRPr="00177F51">
              <w:rPr>
                <w:rFonts w:asciiTheme="majorHAnsi" w:hAnsiTheme="majorHAnsi" w:cstheme="majorHAnsi"/>
                <w:i/>
                <w:color w:val="000000"/>
                <w:sz w:val="20"/>
                <w:szCs w:val="20"/>
                <w:vertAlign w:val="subscript"/>
              </w:rPr>
              <w:t>i</w:t>
            </w:r>
            <w:r>
              <w:rPr>
                <w:rFonts w:asciiTheme="majorHAnsi" w:hAnsiTheme="majorHAnsi" w:cstheme="majorHAnsi"/>
                <w:color w:val="000000"/>
                <w:sz w:val="20"/>
                <w:szCs w:val="20"/>
              </w:rPr>
              <w:t xml:space="preserve">, demonstrating that assumptions of rapid equilibrium </w:t>
            </w:r>
            <w:r w:rsidRPr="00FD358C">
              <w:rPr>
                <w:rFonts w:asciiTheme="majorHAnsi" w:hAnsiTheme="majorHAnsi" w:cstheme="majorHAnsi"/>
                <w:color w:val="000000"/>
                <w:sz w:val="20"/>
                <w:szCs w:val="20"/>
              </w:rPr>
              <w:t xml:space="preserve">may </w:t>
            </w:r>
            <w:r>
              <w:rPr>
                <w:rFonts w:asciiTheme="majorHAnsi" w:hAnsiTheme="majorHAnsi" w:cstheme="majorHAnsi"/>
                <w:color w:val="000000"/>
                <w:sz w:val="20"/>
                <w:szCs w:val="20"/>
              </w:rPr>
              <w:t xml:space="preserve">often </w:t>
            </w:r>
            <w:r w:rsidR="00DA5D94">
              <w:rPr>
                <w:rFonts w:asciiTheme="majorHAnsi" w:hAnsiTheme="majorHAnsi" w:cstheme="majorHAnsi"/>
                <w:color w:val="000000"/>
                <w:sz w:val="20"/>
                <w:szCs w:val="20"/>
              </w:rPr>
              <w:t>preclude detection of</w:t>
            </w:r>
            <w:r w:rsidRPr="00FD358C">
              <w:rPr>
                <w:rFonts w:asciiTheme="majorHAnsi" w:hAnsiTheme="majorHAnsi" w:cstheme="majorHAnsi"/>
                <w:color w:val="000000"/>
                <w:sz w:val="20"/>
                <w:szCs w:val="20"/>
              </w:rPr>
              <w:t xml:space="preserve"> time dependent effects </w:t>
            </w:r>
            <w:r w:rsidR="00DA5D94">
              <w:rPr>
                <w:rFonts w:asciiTheme="majorHAnsi" w:hAnsiTheme="majorHAnsi" w:cstheme="majorHAnsi"/>
                <w:color w:val="000000"/>
                <w:sz w:val="20"/>
                <w:szCs w:val="20"/>
              </w:rPr>
              <w:t>crucial</w:t>
            </w:r>
            <w:r w:rsidRPr="00FD358C">
              <w:rPr>
                <w:rFonts w:asciiTheme="majorHAnsi" w:hAnsiTheme="majorHAnsi" w:cstheme="majorHAnsi"/>
                <w:color w:val="000000"/>
                <w:sz w:val="20"/>
                <w:szCs w:val="20"/>
              </w:rPr>
              <w:t xml:space="preserve"> for</w:t>
            </w:r>
            <w:r w:rsidR="00DA5D94">
              <w:rPr>
                <w:rFonts w:asciiTheme="majorHAnsi" w:hAnsiTheme="majorHAnsi" w:cstheme="majorHAnsi"/>
                <w:color w:val="000000"/>
                <w:sz w:val="20"/>
                <w:szCs w:val="20"/>
              </w:rPr>
              <w:t xml:space="preserve"> the</w:t>
            </w:r>
            <w:r w:rsidRPr="00FD358C">
              <w:rPr>
                <w:rFonts w:asciiTheme="majorHAnsi" w:hAnsiTheme="majorHAnsi" w:cstheme="majorHAnsi"/>
                <w:color w:val="000000"/>
                <w:sz w:val="20"/>
                <w:szCs w:val="20"/>
              </w:rPr>
              <w:t xml:space="preserve"> holistic assessment of the true inhibitory potencies of non-classical inhibitors. </w:t>
            </w:r>
            <w:r>
              <w:rPr>
                <w:rFonts w:asciiTheme="majorHAnsi" w:hAnsiTheme="majorHAnsi" w:cstheme="majorHAnsi"/>
                <w:color w:val="000000"/>
                <w:sz w:val="20"/>
                <w:szCs w:val="20"/>
              </w:rPr>
              <w:t xml:space="preserve"> </w:t>
            </w:r>
            <w:r w:rsidRPr="003D455B">
              <w:rPr>
                <w:rFonts w:asciiTheme="majorHAnsi" w:hAnsiTheme="majorHAnsi" w:cstheme="majorHAnsi"/>
                <w:color w:val="000000"/>
                <w:sz w:val="20"/>
                <w:szCs w:val="20"/>
              </w:rPr>
              <w:t xml:space="preserve">Furthermore, the long </w:t>
            </w:r>
            <w:r w:rsidR="009B23FB">
              <w:rPr>
                <w:rFonts w:asciiTheme="majorHAnsi" w:hAnsiTheme="majorHAnsi" w:cstheme="majorHAnsi"/>
                <w:color w:val="000000"/>
                <w:sz w:val="20"/>
                <w:szCs w:val="20"/>
              </w:rPr>
              <w:t>dissociation half-lives (&gt;40 h) observed</w:t>
            </w:r>
            <w:r>
              <w:rPr>
                <w:rFonts w:asciiTheme="majorHAnsi" w:hAnsiTheme="majorHAnsi" w:cstheme="majorHAnsi"/>
                <w:color w:val="000000"/>
                <w:sz w:val="20"/>
                <w:szCs w:val="20"/>
              </w:rPr>
              <w:t xml:space="preserve"> </w:t>
            </w:r>
            <w:r w:rsidRPr="003D455B">
              <w:rPr>
                <w:rFonts w:asciiTheme="majorHAnsi" w:hAnsiTheme="majorHAnsi" w:cstheme="majorHAnsi"/>
                <w:color w:val="000000"/>
                <w:sz w:val="20"/>
                <w:szCs w:val="20"/>
              </w:rPr>
              <w:t>reflect protracted target occupancy</w:t>
            </w:r>
            <w:r w:rsidR="00DA5D94">
              <w:rPr>
                <w:rFonts w:asciiTheme="majorHAnsi" w:hAnsiTheme="majorHAnsi" w:cstheme="majorHAnsi"/>
                <w:color w:val="000000"/>
                <w:sz w:val="20"/>
                <w:szCs w:val="20"/>
              </w:rPr>
              <w:t xml:space="preserve"> (i.e. tight binding)</w:t>
            </w:r>
            <w:r w:rsidRPr="003D455B">
              <w:rPr>
                <w:rFonts w:asciiTheme="majorHAnsi" w:hAnsiTheme="majorHAnsi" w:cstheme="majorHAnsi"/>
                <w:color w:val="000000"/>
                <w:sz w:val="20"/>
                <w:szCs w:val="20"/>
              </w:rPr>
              <w:t xml:space="preserve"> and corresponding kinetic selectivity. </w:t>
            </w:r>
            <w:r>
              <w:rPr>
                <w:rStyle w:val="fontstyle01"/>
                <w:rFonts w:asciiTheme="majorHAnsi" w:hAnsiTheme="majorHAnsi" w:cstheme="majorHAnsi"/>
                <w:sz w:val="20"/>
                <w:szCs w:val="20"/>
              </w:rPr>
              <w:t>This</w:t>
            </w:r>
            <w:r w:rsidRPr="006D59F3">
              <w:rPr>
                <w:rStyle w:val="fontstyle01"/>
                <w:rFonts w:asciiTheme="majorHAnsi" w:hAnsiTheme="majorHAnsi" w:cstheme="majorHAnsi"/>
                <w:sz w:val="20"/>
                <w:szCs w:val="20"/>
              </w:rPr>
              <w:t xml:space="preserve"> could eventually support prospective studies exploring lower dosing requirements involving abiraterone, resulting in enhanced safety while preserving the desired pharmacodynamic effect.</w:t>
            </w:r>
            <w:r>
              <w:rPr>
                <w:rStyle w:val="fontstyle01"/>
                <w:rFonts w:asciiTheme="majorHAnsi" w:hAnsiTheme="majorHAnsi" w:cstheme="majorHAnsi"/>
                <w:sz w:val="20"/>
                <w:szCs w:val="20"/>
              </w:rPr>
              <w:t xml:space="preserve"> </w:t>
            </w:r>
          </w:p>
        </w:tc>
      </w:tr>
      <w:tr w:rsidR="00E940ED" w:rsidRPr="001E0A56" w14:paraId="1293BC11" w14:textId="77777777" w:rsidTr="0001757E">
        <w:tc>
          <w:tcPr>
            <w:tcW w:w="1372" w:type="dxa"/>
          </w:tcPr>
          <w:p w14:paraId="572E0F5D" w14:textId="1E127636" w:rsidR="00E940ED" w:rsidRPr="001E0A56" w:rsidRDefault="00E940ED" w:rsidP="00A7558E">
            <w:pPr>
              <w:jc w:val="both"/>
              <w:rPr>
                <w:rFonts w:asciiTheme="majorHAnsi" w:hAnsiTheme="majorHAnsi" w:cstheme="majorHAnsi"/>
                <w:sz w:val="20"/>
                <w:szCs w:val="20"/>
              </w:rPr>
            </w:pPr>
            <w:r w:rsidRPr="001E0A56">
              <w:rPr>
                <w:rFonts w:asciiTheme="majorHAnsi" w:hAnsiTheme="majorHAnsi" w:cstheme="majorHAnsi"/>
                <w:sz w:val="20"/>
                <w:szCs w:val="20"/>
              </w:rPr>
              <w:t>References</w:t>
            </w:r>
          </w:p>
        </w:tc>
        <w:tc>
          <w:tcPr>
            <w:tcW w:w="7978" w:type="dxa"/>
          </w:tcPr>
          <w:p w14:paraId="789E90BB" w14:textId="6B384C83" w:rsidR="00B3664E" w:rsidRPr="00B3664E" w:rsidRDefault="00B3664E" w:rsidP="00B3664E">
            <w:pPr>
              <w:widowControl w:val="0"/>
              <w:autoSpaceDE w:val="0"/>
              <w:autoSpaceDN w:val="0"/>
              <w:adjustRightInd w:val="0"/>
              <w:ind w:left="640" w:hanging="640"/>
              <w:rPr>
                <w:rFonts w:ascii="Calibri Light" w:hAnsi="Calibri Light" w:cs="Calibri Light"/>
                <w:noProof/>
                <w:sz w:val="20"/>
                <w:szCs w:val="24"/>
              </w:rPr>
            </w:pPr>
            <w:r>
              <w:rPr>
                <w:rFonts w:asciiTheme="majorHAnsi" w:hAnsiTheme="majorHAnsi" w:cstheme="majorHAnsi"/>
                <w:sz w:val="20"/>
                <w:szCs w:val="20"/>
              </w:rPr>
              <w:fldChar w:fldCharType="begin" w:fldLock="1"/>
            </w:r>
            <w:r>
              <w:rPr>
                <w:rFonts w:asciiTheme="majorHAnsi" w:hAnsiTheme="majorHAnsi" w:cstheme="majorHAnsi"/>
                <w:sz w:val="20"/>
                <w:szCs w:val="20"/>
              </w:rPr>
              <w:instrText xml:space="preserve">ADDIN Mendeley Bibliography CSL_BIBLIOGRAPHY </w:instrText>
            </w:r>
            <w:r>
              <w:rPr>
                <w:rFonts w:asciiTheme="majorHAnsi" w:hAnsiTheme="majorHAnsi" w:cstheme="majorHAnsi"/>
                <w:sz w:val="20"/>
                <w:szCs w:val="20"/>
              </w:rPr>
              <w:fldChar w:fldCharType="separate"/>
            </w:r>
            <w:r w:rsidRPr="00B3664E">
              <w:rPr>
                <w:rFonts w:ascii="Calibri Light" w:hAnsi="Calibri Light" w:cs="Calibri Light"/>
                <w:noProof/>
                <w:sz w:val="20"/>
                <w:szCs w:val="24"/>
              </w:rPr>
              <w:t>1.</w:t>
            </w:r>
            <w:r w:rsidRPr="00B3664E">
              <w:rPr>
                <w:rFonts w:ascii="Calibri Light" w:hAnsi="Calibri Light" w:cs="Calibri Light"/>
                <w:noProof/>
                <w:sz w:val="20"/>
                <w:szCs w:val="24"/>
              </w:rPr>
              <w:tab/>
              <w:t xml:space="preserve">Li, Z. </w:t>
            </w:r>
            <w:r w:rsidRPr="00B3664E">
              <w:rPr>
                <w:rFonts w:ascii="Calibri Light" w:hAnsi="Calibri Light" w:cs="Calibri Light"/>
                <w:i/>
                <w:iCs/>
                <w:noProof/>
                <w:sz w:val="20"/>
                <w:szCs w:val="24"/>
              </w:rPr>
              <w:t>et al.</w:t>
            </w:r>
            <w:r w:rsidRPr="00B3664E">
              <w:rPr>
                <w:rFonts w:ascii="Calibri Light" w:hAnsi="Calibri Light" w:cs="Calibri Light"/>
                <w:noProof/>
                <w:sz w:val="20"/>
                <w:szCs w:val="24"/>
              </w:rPr>
              <w:t xml:space="preserve"> Conversion of abiraterone to D4A drives anti-tumour activity in prostate cancer. </w:t>
            </w:r>
            <w:r w:rsidRPr="00B3664E">
              <w:rPr>
                <w:rFonts w:ascii="Calibri Light" w:hAnsi="Calibri Light" w:cs="Calibri Light"/>
                <w:i/>
                <w:iCs/>
                <w:noProof/>
                <w:sz w:val="20"/>
                <w:szCs w:val="24"/>
              </w:rPr>
              <w:t>Nature</w:t>
            </w:r>
            <w:r w:rsidRPr="00B3664E">
              <w:rPr>
                <w:rFonts w:ascii="Calibri Light" w:hAnsi="Calibri Light" w:cs="Calibri Light"/>
                <w:noProof/>
                <w:sz w:val="20"/>
                <w:szCs w:val="24"/>
              </w:rPr>
              <w:t xml:space="preserve"> </w:t>
            </w:r>
            <w:r w:rsidRPr="00B3664E">
              <w:rPr>
                <w:rFonts w:ascii="Calibri Light" w:hAnsi="Calibri Light" w:cs="Calibri Light"/>
                <w:b/>
                <w:bCs/>
                <w:noProof/>
                <w:sz w:val="20"/>
                <w:szCs w:val="24"/>
              </w:rPr>
              <w:t>523,</w:t>
            </w:r>
            <w:r w:rsidRPr="00B3664E">
              <w:rPr>
                <w:rFonts w:ascii="Calibri Light" w:hAnsi="Calibri Light" w:cs="Calibri Light"/>
                <w:noProof/>
                <w:sz w:val="20"/>
                <w:szCs w:val="24"/>
              </w:rPr>
              <w:t xml:space="preserve"> 347–51 (2015).</w:t>
            </w:r>
          </w:p>
          <w:p w14:paraId="762344F9" w14:textId="77777777" w:rsidR="00B3664E" w:rsidRPr="00B3664E" w:rsidRDefault="00B3664E" w:rsidP="00B3664E">
            <w:pPr>
              <w:widowControl w:val="0"/>
              <w:autoSpaceDE w:val="0"/>
              <w:autoSpaceDN w:val="0"/>
              <w:adjustRightInd w:val="0"/>
              <w:ind w:left="640" w:hanging="640"/>
              <w:rPr>
                <w:rFonts w:ascii="Calibri Light" w:hAnsi="Calibri Light" w:cs="Calibri Light"/>
                <w:noProof/>
                <w:sz w:val="20"/>
                <w:szCs w:val="24"/>
              </w:rPr>
            </w:pPr>
            <w:r w:rsidRPr="00B3664E">
              <w:rPr>
                <w:rFonts w:ascii="Calibri Light" w:hAnsi="Calibri Light" w:cs="Calibri Light"/>
                <w:noProof/>
                <w:sz w:val="20"/>
                <w:szCs w:val="24"/>
              </w:rPr>
              <w:t>2.</w:t>
            </w:r>
            <w:r w:rsidRPr="00B3664E">
              <w:rPr>
                <w:rFonts w:ascii="Calibri Light" w:hAnsi="Calibri Light" w:cs="Calibri Light"/>
                <w:noProof/>
                <w:sz w:val="20"/>
                <w:szCs w:val="24"/>
              </w:rPr>
              <w:tab/>
              <w:t xml:space="preserve">DeVore, N. M. &amp; Scott, E. E. Structures of cytochrome P450 17A1 with prostate cancer drugs abiraterone and TOK-001. </w:t>
            </w:r>
            <w:r w:rsidRPr="00B3664E">
              <w:rPr>
                <w:rFonts w:ascii="Calibri Light" w:hAnsi="Calibri Light" w:cs="Calibri Light"/>
                <w:i/>
                <w:iCs/>
                <w:noProof/>
                <w:sz w:val="20"/>
                <w:szCs w:val="24"/>
              </w:rPr>
              <w:t>Nature</w:t>
            </w:r>
            <w:r w:rsidRPr="00B3664E">
              <w:rPr>
                <w:rFonts w:ascii="Calibri Light" w:hAnsi="Calibri Light" w:cs="Calibri Light"/>
                <w:noProof/>
                <w:sz w:val="20"/>
                <w:szCs w:val="24"/>
              </w:rPr>
              <w:t xml:space="preserve"> </w:t>
            </w:r>
            <w:r w:rsidRPr="00B3664E">
              <w:rPr>
                <w:rFonts w:ascii="Calibri Light" w:hAnsi="Calibri Light" w:cs="Calibri Light"/>
                <w:b/>
                <w:bCs/>
                <w:noProof/>
                <w:sz w:val="20"/>
                <w:szCs w:val="24"/>
              </w:rPr>
              <w:t>482,</w:t>
            </w:r>
            <w:r w:rsidRPr="00B3664E">
              <w:rPr>
                <w:rFonts w:ascii="Calibri Light" w:hAnsi="Calibri Light" w:cs="Calibri Light"/>
                <w:noProof/>
                <w:sz w:val="20"/>
                <w:szCs w:val="24"/>
              </w:rPr>
              <w:t xml:space="preserve"> 116–119 (2012).</w:t>
            </w:r>
          </w:p>
          <w:p w14:paraId="421A0C27" w14:textId="77777777" w:rsidR="00B3664E" w:rsidRPr="00B3664E" w:rsidRDefault="00B3664E" w:rsidP="00B3664E">
            <w:pPr>
              <w:widowControl w:val="0"/>
              <w:autoSpaceDE w:val="0"/>
              <w:autoSpaceDN w:val="0"/>
              <w:adjustRightInd w:val="0"/>
              <w:ind w:left="640" w:hanging="640"/>
              <w:rPr>
                <w:rFonts w:ascii="Calibri Light" w:hAnsi="Calibri Light" w:cs="Calibri Light"/>
                <w:noProof/>
                <w:sz w:val="20"/>
                <w:szCs w:val="24"/>
              </w:rPr>
            </w:pPr>
            <w:r w:rsidRPr="00B3664E">
              <w:rPr>
                <w:rFonts w:ascii="Calibri Light" w:hAnsi="Calibri Light" w:cs="Calibri Light"/>
                <w:noProof/>
                <w:sz w:val="20"/>
                <w:szCs w:val="24"/>
              </w:rPr>
              <w:t>3.</w:t>
            </w:r>
            <w:r w:rsidRPr="00B3664E">
              <w:rPr>
                <w:rFonts w:ascii="Calibri Light" w:hAnsi="Calibri Light" w:cs="Calibri Light"/>
                <w:noProof/>
                <w:sz w:val="20"/>
                <w:szCs w:val="24"/>
              </w:rPr>
              <w:tab/>
              <w:t xml:space="preserve">Jarman, M., Barrie, S. E. &amp; Llera, J. M. The 16,17-double bond is needed for irreversible inhibition of human cytochrome p45017alpha by abiraterone (17-(3-pyridyl)androsta-5,16-dien-3beta-ol, 1) and related steroidal inhibitors. </w:t>
            </w:r>
            <w:r w:rsidRPr="00B3664E">
              <w:rPr>
                <w:rFonts w:ascii="Calibri Light" w:hAnsi="Calibri Light" w:cs="Calibri Light"/>
                <w:i/>
                <w:iCs/>
                <w:noProof/>
                <w:sz w:val="20"/>
                <w:szCs w:val="24"/>
              </w:rPr>
              <w:t>J. Med. Chem.</w:t>
            </w:r>
            <w:r w:rsidRPr="00B3664E">
              <w:rPr>
                <w:rFonts w:ascii="Calibri Light" w:hAnsi="Calibri Light" w:cs="Calibri Light"/>
                <w:noProof/>
                <w:sz w:val="20"/>
                <w:szCs w:val="24"/>
              </w:rPr>
              <w:t xml:space="preserve"> </w:t>
            </w:r>
            <w:r w:rsidRPr="00B3664E">
              <w:rPr>
                <w:rFonts w:ascii="Calibri Light" w:hAnsi="Calibri Light" w:cs="Calibri Light"/>
                <w:b/>
                <w:bCs/>
                <w:noProof/>
                <w:sz w:val="20"/>
                <w:szCs w:val="24"/>
              </w:rPr>
              <w:t>41,</w:t>
            </w:r>
            <w:r w:rsidRPr="00B3664E">
              <w:rPr>
                <w:rFonts w:ascii="Calibri Light" w:hAnsi="Calibri Light" w:cs="Calibri Light"/>
                <w:noProof/>
                <w:sz w:val="20"/>
                <w:szCs w:val="24"/>
              </w:rPr>
              <w:t xml:space="preserve"> 5375–5381 (1998).</w:t>
            </w:r>
          </w:p>
          <w:p w14:paraId="7C510C35" w14:textId="77777777" w:rsidR="00B3664E" w:rsidRPr="00B3664E" w:rsidRDefault="00B3664E" w:rsidP="00B3664E">
            <w:pPr>
              <w:widowControl w:val="0"/>
              <w:autoSpaceDE w:val="0"/>
              <w:autoSpaceDN w:val="0"/>
              <w:adjustRightInd w:val="0"/>
              <w:ind w:left="640" w:hanging="640"/>
              <w:rPr>
                <w:rFonts w:ascii="Calibri Light" w:hAnsi="Calibri Light" w:cs="Calibri Light"/>
                <w:noProof/>
                <w:sz w:val="20"/>
              </w:rPr>
            </w:pPr>
            <w:r w:rsidRPr="00B3664E">
              <w:rPr>
                <w:rFonts w:ascii="Calibri Light" w:hAnsi="Calibri Light" w:cs="Calibri Light"/>
                <w:noProof/>
                <w:sz w:val="20"/>
                <w:szCs w:val="24"/>
              </w:rPr>
              <w:t>4.</w:t>
            </w:r>
            <w:r w:rsidRPr="00B3664E">
              <w:rPr>
                <w:rFonts w:ascii="Calibri Light" w:hAnsi="Calibri Light" w:cs="Calibri Light"/>
                <w:noProof/>
                <w:sz w:val="20"/>
                <w:szCs w:val="24"/>
              </w:rPr>
              <w:tab/>
              <w:t xml:space="preserve">Garrido, M. </w:t>
            </w:r>
            <w:r w:rsidRPr="00B3664E">
              <w:rPr>
                <w:rFonts w:ascii="Calibri Light" w:hAnsi="Calibri Light" w:cs="Calibri Light"/>
                <w:i/>
                <w:iCs/>
                <w:noProof/>
                <w:sz w:val="20"/>
                <w:szCs w:val="24"/>
              </w:rPr>
              <w:t>et al.</w:t>
            </w:r>
            <w:r w:rsidRPr="00B3664E">
              <w:rPr>
                <w:rFonts w:ascii="Calibri Light" w:hAnsi="Calibri Light" w:cs="Calibri Light"/>
                <w:noProof/>
                <w:sz w:val="20"/>
                <w:szCs w:val="24"/>
              </w:rPr>
              <w:t xml:space="preserve"> A-ring modified steroidal azoles retaining similar potent and slowly reversible CYP17A1 inhibition as abiraterone. </w:t>
            </w:r>
            <w:r w:rsidRPr="00B3664E">
              <w:rPr>
                <w:rFonts w:ascii="Calibri Light" w:hAnsi="Calibri Light" w:cs="Calibri Light"/>
                <w:i/>
                <w:iCs/>
                <w:noProof/>
                <w:sz w:val="20"/>
                <w:szCs w:val="24"/>
              </w:rPr>
              <w:t>J. Steroid Biochem. Mol. Biol.</w:t>
            </w:r>
            <w:r w:rsidRPr="00B3664E">
              <w:rPr>
                <w:rFonts w:ascii="Calibri Light" w:hAnsi="Calibri Light" w:cs="Calibri Light"/>
                <w:noProof/>
                <w:sz w:val="20"/>
                <w:szCs w:val="24"/>
              </w:rPr>
              <w:t xml:space="preserve"> </w:t>
            </w:r>
            <w:r w:rsidRPr="00B3664E">
              <w:rPr>
                <w:rFonts w:ascii="Calibri Light" w:hAnsi="Calibri Light" w:cs="Calibri Light"/>
                <w:b/>
                <w:bCs/>
                <w:noProof/>
                <w:sz w:val="20"/>
                <w:szCs w:val="24"/>
              </w:rPr>
              <w:t>143,</w:t>
            </w:r>
            <w:r w:rsidRPr="00B3664E">
              <w:rPr>
                <w:rFonts w:ascii="Calibri Light" w:hAnsi="Calibri Light" w:cs="Calibri Light"/>
                <w:noProof/>
                <w:sz w:val="20"/>
                <w:szCs w:val="24"/>
              </w:rPr>
              <w:t xml:space="preserve"> 1–10 (2014).</w:t>
            </w:r>
          </w:p>
          <w:p w14:paraId="42CD64AC" w14:textId="6FB41937" w:rsidR="00C207F9" w:rsidRPr="00C207F9" w:rsidRDefault="00B3664E" w:rsidP="00C207F9">
            <w:pPr>
              <w:widowControl w:val="0"/>
              <w:autoSpaceDE w:val="0"/>
              <w:autoSpaceDN w:val="0"/>
              <w:adjustRightInd w:val="0"/>
              <w:jc w:val="both"/>
              <w:rPr>
                <w:rFonts w:asciiTheme="majorHAnsi" w:hAnsiTheme="majorHAnsi" w:cstheme="majorHAnsi"/>
                <w:sz w:val="20"/>
                <w:szCs w:val="20"/>
              </w:rPr>
            </w:pPr>
            <w:r>
              <w:rPr>
                <w:rFonts w:asciiTheme="majorHAnsi" w:hAnsiTheme="majorHAnsi" w:cstheme="majorHAnsi"/>
                <w:sz w:val="20"/>
                <w:szCs w:val="20"/>
              </w:rPr>
              <w:lastRenderedPageBreak/>
              <w:fldChar w:fldCharType="end"/>
            </w:r>
          </w:p>
          <w:p w14:paraId="5C9BE93C" w14:textId="17DA4B83" w:rsidR="00C207F9" w:rsidRPr="00C207F9" w:rsidRDefault="00C207F9" w:rsidP="00C207F9">
            <w:pPr>
              <w:widowControl w:val="0"/>
              <w:autoSpaceDE w:val="0"/>
              <w:autoSpaceDN w:val="0"/>
              <w:adjustRightInd w:val="0"/>
              <w:jc w:val="both"/>
              <w:rPr>
                <w:rFonts w:asciiTheme="majorHAnsi" w:hAnsiTheme="majorHAnsi" w:cstheme="majorHAnsi"/>
                <w:sz w:val="20"/>
                <w:szCs w:val="20"/>
              </w:rPr>
            </w:pPr>
          </w:p>
          <w:p w14:paraId="1D103A27" w14:textId="1771A3BE" w:rsidR="006276BB" w:rsidRPr="00C207F9" w:rsidRDefault="006276BB" w:rsidP="00C207F9">
            <w:pPr>
              <w:widowControl w:val="0"/>
              <w:autoSpaceDE w:val="0"/>
              <w:autoSpaceDN w:val="0"/>
              <w:adjustRightInd w:val="0"/>
              <w:jc w:val="both"/>
              <w:rPr>
                <w:rFonts w:asciiTheme="majorHAnsi" w:hAnsiTheme="majorHAnsi" w:cstheme="majorHAnsi"/>
                <w:sz w:val="20"/>
                <w:szCs w:val="20"/>
              </w:rPr>
            </w:pPr>
          </w:p>
        </w:tc>
      </w:tr>
    </w:tbl>
    <w:p w14:paraId="1D233423" w14:textId="73A5272C" w:rsidR="00FD358C" w:rsidRDefault="00FD358C" w:rsidP="00C207F9">
      <w:pPr>
        <w:spacing w:line="240" w:lineRule="auto"/>
        <w:jc w:val="both"/>
      </w:pPr>
    </w:p>
    <w:p w14:paraId="21DCB69A" w14:textId="2B55EFEA" w:rsidR="00411DD2" w:rsidRDefault="00411DD2" w:rsidP="00C207F9">
      <w:pPr>
        <w:spacing w:line="240" w:lineRule="auto"/>
        <w:jc w:val="both"/>
      </w:pPr>
    </w:p>
    <w:p w14:paraId="1AE19FCE" w14:textId="77777777" w:rsidR="00411DD2" w:rsidRPr="00D6109B" w:rsidRDefault="00411DD2" w:rsidP="00C207F9">
      <w:pPr>
        <w:spacing w:line="240" w:lineRule="auto"/>
        <w:jc w:val="both"/>
      </w:pPr>
    </w:p>
    <w:sectPr w:rsidR="00411DD2" w:rsidRPr="00D610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88BE4" w14:textId="77777777" w:rsidR="007B7B69" w:rsidRDefault="007B7B69" w:rsidP="00291046">
      <w:pPr>
        <w:spacing w:after="0" w:line="240" w:lineRule="auto"/>
      </w:pPr>
      <w:r>
        <w:separator/>
      </w:r>
    </w:p>
  </w:endnote>
  <w:endnote w:type="continuationSeparator" w:id="0">
    <w:p w14:paraId="1546BE14" w14:textId="77777777" w:rsidR="007B7B69" w:rsidRDefault="007B7B69" w:rsidP="00291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C3EE2" w14:textId="77777777" w:rsidR="007B7B69" w:rsidRDefault="007B7B69" w:rsidP="00291046">
      <w:pPr>
        <w:spacing w:after="0" w:line="240" w:lineRule="auto"/>
      </w:pPr>
      <w:r>
        <w:separator/>
      </w:r>
    </w:p>
  </w:footnote>
  <w:footnote w:type="continuationSeparator" w:id="0">
    <w:p w14:paraId="15E23532" w14:textId="77777777" w:rsidR="007B7B69" w:rsidRDefault="007B7B69" w:rsidP="002910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33C"/>
    <w:multiLevelType w:val="hybridMultilevel"/>
    <w:tmpl w:val="6F2080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090783"/>
    <w:multiLevelType w:val="hybridMultilevel"/>
    <w:tmpl w:val="C1E63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25D"/>
    <w:rsid w:val="0000118B"/>
    <w:rsid w:val="00011236"/>
    <w:rsid w:val="00013418"/>
    <w:rsid w:val="0001757E"/>
    <w:rsid w:val="00031A1B"/>
    <w:rsid w:val="000349A3"/>
    <w:rsid w:val="00040CCB"/>
    <w:rsid w:val="0005068B"/>
    <w:rsid w:val="00060139"/>
    <w:rsid w:val="0006409B"/>
    <w:rsid w:val="00065283"/>
    <w:rsid w:val="00066BDF"/>
    <w:rsid w:val="0007195F"/>
    <w:rsid w:val="000756BB"/>
    <w:rsid w:val="000804D9"/>
    <w:rsid w:val="0009225D"/>
    <w:rsid w:val="000970F2"/>
    <w:rsid w:val="000A0CDB"/>
    <w:rsid w:val="000A3F81"/>
    <w:rsid w:val="000B2E71"/>
    <w:rsid w:val="000B6E39"/>
    <w:rsid w:val="000C4506"/>
    <w:rsid w:val="000D4419"/>
    <w:rsid w:val="000E66B9"/>
    <w:rsid w:val="000F377F"/>
    <w:rsid w:val="00103A0B"/>
    <w:rsid w:val="0011473E"/>
    <w:rsid w:val="001149EB"/>
    <w:rsid w:val="001155F1"/>
    <w:rsid w:val="0012171D"/>
    <w:rsid w:val="001325C4"/>
    <w:rsid w:val="00132724"/>
    <w:rsid w:val="00134E5E"/>
    <w:rsid w:val="00156CDD"/>
    <w:rsid w:val="0016286C"/>
    <w:rsid w:val="00163EBB"/>
    <w:rsid w:val="00163F4E"/>
    <w:rsid w:val="00167009"/>
    <w:rsid w:val="001862F9"/>
    <w:rsid w:val="001919C0"/>
    <w:rsid w:val="001A5B33"/>
    <w:rsid w:val="001B5C45"/>
    <w:rsid w:val="001C0F75"/>
    <w:rsid w:val="001C1B0B"/>
    <w:rsid w:val="001C5B1E"/>
    <w:rsid w:val="001C7E67"/>
    <w:rsid w:val="001D1EE0"/>
    <w:rsid w:val="001D2553"/>
    <w:rsid w:val="001D2660"/>
    <w:rsid w:val="001E0A56"/>
    <w:rsid w:val="001E65B5"/>
    <w:rsid w:val="001E748C"/>
    <w:rsid w:val="001F4ABA"/>
    <w:rsid w:val="00211158"/>
    <w:rsid w:val="0022061C"/>
    <w:rsid w:val="00225F45"/>
    <w:rsid w:val="00226AC5"/>
    <w:rsid w:val="00241661"/>
    <w:rsid w:val="002453C1"/>
    <w:rsid w:val="00246C54"/>
    <w:rsid w:val="00260074"/>
    <w:rsid w:val="00262ACE"/>
    <w:rsid w:val="002766AA"/>
    <w:rsid w:val="00291046"/>
    <w:rsid w:val="0029704C"/>
    <w:rsid w:val="002A342A"/>
    <w:rsid w:val="002A3FE3"/>
    <w:rsid w:val="002A428C"/>
    <w:rsid w:val="002B665C"/>
    <w:rsid w:val="002B7A72"/>
    <w:rsid w:val="002C2A28"/>
    <w:rsid w:val="002C54B7"/>
    <w:rsid w:val="002D17FF"/>
    <w:rsid w:val="002E53DE"/>
    <w:rsid w:val="002F1704"/>
    <w:rsid w:val="002F55AC"/>
    <w:rsid w:val="00300E1C"/>
    <w:rsid w:val="003041FC"/>
    <w:rsid w:val="00313D99"/>
    <w:rsid w:val="0033217A"/>
    <w:rsid w:val="00333E7A"/>
    <w:rsid w:val="00335B4A"/>
    <w:rsid w:val="00342A45"/>
    <w:rsid w:val="00354642"/>
    <w:rsid w:val="003605A6"/>
    <w:rsid w:val="0036180B"/>
    <w:rsid w:val="003649CE"/>
    <w:rsid w:val="00372497"/>
    <w:rsid w:val="0037748C"/>
    <w:rsid w:val="0039065E"/>
    <w:rsid w:val="003B4076"/>
    <w:rsid w:val="003B77B5"/>
    <w:rsid w:val="003C47A4"/>
    <w:rsid w:val="003C4C65"/>
    <w:rsid w:val="003C5B15"/>
    <w:rsid w:val="003C665F"/>
    <w:rsid w:val="003C6687"/>
    <w:rsid w:val="003D3A48"/>
    <w:rsid w:val="003D53C3"/>
    <w:rsid w:val="003E3E67"/>
    <w:rsid w:val="003E5FC2"/>
    <w:rsid w:val="003F2CBC"/>
    <w:rsid w:val="003F3F85"/>
    <w:rsid w:val="003F6805"/>
    <w:rsid w:val="004041D5"/>
    <w:rsid w:val="004047CD"/>
    <w:rsid w:val="00411DD2"/>
    <w:rsid w:val="004225DB"/>
    <w:rsid w:val="00450A14"/>
    <w:rsid w:val="00451D0E"/>
    <w:rsid w:val="00452ADA"/>
    <w:rsid w:val="004544AA"/>
    <w:rsid w:val="0045564C"/>
    <w:rsid w:val="00456159"/>
    <w:rsid w:val="00472DE6"/>
    <w:rsid w:val="00475F8A"/>
    <w:rsid w:val="00491B2A"/>
    <w:rsid w:val="004A3B55"/>
    <w:rsid w:val="004A60A4"/>
    <w:rsid w:val="004B3686"/>
    <w:rsid w:val="004D3B97"/>
    <w:rsid w:val="004D796E"/>
    <w:rsid w:val="004E5C04"/>
    <w:rsid w:val="004F2C2B"/>
    <w:rsid w:val="004F7D20"/>
    <w:rsid w:val="00506268"/>
    <w:rsid w:val="0052339D"/>
    <w:rsid w:val="00530CB7"/>
    <w:rsid w:val="00554DE6"/>
    <w:rsid w:val="00565447"/>
    <w:rsid w:val="00584211"/>
    <w:rsid w:val="0059022E"/>
    <w:rsid w:val="005927FC"/>
    <w:rsid w:val="0059371A"/>
    <w:rsid w:val="005B72D6"/>
    <w:rsid w:val="005C2CBB"/>
    <w:rsid w:val="005C687F"/>
    <w:rsid w:val="005D3097"/>
    <w:rsid w:val="005D4BE5"/>
    <w:rsid w:val="005E7EE5"/>
    <w:rsid w:val="00601B2D"/>
    <w:rsid w:val="00602211"/>
    <w:rsid w:val="00604741"/>
    <w:rsid w:val="00615E70"/>
    <w:rsid w:val="00621395"/>
    <w:rsid w:val="006276BB"/>
    <w:rsid w:val="006311E4"/>
    <w:rsid w:val="006355B1"/>
    <w:rsid w:val="00645117"/>
    <w:rsid w:val="0066002D"/>
    <w:rsid w:val="00666937"/>
    <w:rsid w:val="006742A5"/>
    <w:rsid w:val="006915EA"/>
    <w:rsid w:val="00695F8A"/>
    <w:rsid w:val="00697712"/>
    <w:rsid w:val="006A42C5"/>
    <w:rsid w:val="006A612C"/>
    <w:rsid w:val="006B0A43"/>
    <w:rsid w:val="006E0974"/>
    <w:rsid w:val="006E13F5"/>
    <w:rsid w:val="006F05C4"/>
    <w:rsid w:val="006F20CE"/>
    <w:rsid w:val="006F5A86"/>
    <w:rsid w:val="00702A70"/>
    <w:rsid w:val="00706901"/>
    <w:rsid w:val="00713449"/>
    <w:rsid w:val="007145A6"/>
    <w:rsid w:val="00715E8D"/>
    <w:rsid w:val="00723C0F"/>
    <w:rsid w:val="00726FEE"/>
    <w:rsid w:val="00731A25"/>
    <w:rsid w:val="0073649C"/>
    <w:rsid w:val="0074134F"/>
    <w:rsid w:val="00741E4F"/>
    <w:rsid w:val="00750A7D"/>
    <w:rsid w:val="0075659A"/>
    <w:rsid w:val="007615B8"/>
    <w:rsid w:val="00765836"/>
    <w:rsid w:val="00771880"/>
    <w:rsid w:val="00772111"/>
    <w:rsid w:val="00785C5A"/>
    <w:rsid w:val="007921E5"/>
    <w:rsid w:val="007A1D94"/>
    <w:rsid w:val="007A6169"/>
    <w:rsid w:val="007B021F"/>
    <w:rsid w:val="007B7B69"/>
    <w:rsid w:val="007D0A65"/>
    <w:rsid w:val="007D751A"/>
    <w:rsid w:val="007E3C53"/>
    <w:rsid w:val="00801159"/>
    <w:rsid w:val="008160A1"/>
    <w:rsid w:val="00817762"/>
    <w:rsid w:val="008206F0"/>
    <w:rsid w:val="00822794"/>
    <w:rsid w:val="0083053C"/>
    <w:rsid w:val="0083285E"/>
    <w:rsid w:val="008447D1"/>
    <w:rsid w:val="008528E5"/>
    <w:rsid w:val="008529B3"/>
    <w:rsid w:val="008560E5"/>
    <w:rsid w:val="00864824"/>
    <w:rsid w:val="00870408"/>
    <w:rsid w:val="00871CDB"/>
    <w:rsid w:val="00894780"/>
    <w:rsid w:val="00896656"/>
    <w:rsid w:val="008A410E"/>
    <w:rsid w:val="008B23D3"/>
    <w:rsid w:val="008B2459"/>
    <w:rsid w:val="008C3B56"/>
    <w:rsid w:val="008D3E9A"/>
    <w:rsid w:val="008F6523"/>
    <w:rsid w:val="00904F60"/>
    <w:rsid w:val="00910752"/>
    <w:rsid w:val="00917F27"/>
    <w:rsid w:val="0092242F"/>
    <w:rsid w:val="00922FC2"/>
    <w:rsid w:val="00935E1B"/>
    <w:rsid w:val="009434F4"/>
    <w:rsid w:val="00947E5C"/>
    <w:rsid w:val="00950545"/>
    <w:rsid w:val="00952D30"/>
    <w:rsid w:val="00955A4C"/>
    <w:rsid w:val="0095691D"/>
    <w:rsid w:val="0096245F"/>
    <w:rsid w:val="0096439C"/>
    <w:rsid w:val="00964729"/>
    <w:rsid w:val="0098786E"/>
    <w:rsid w:val="009879AA"/>
    <w:rsid w:val="0099239C"/>
    <w:rsid w:val="009A0978"/>
    <w:rsid w:val="009B23FB"/>
    <w:rsid w:val="009B5250"/>
    <w:rsid w:val="009B79D2"/>
    <w:rsid w:val="009C08F6"/>
    <w:rsid w:val="009D1FAA"/>
    <w:rsid w:val="009D7B96"/>
    <w:rsid w:val="009E4606"/>
    <w:rsid w:val="009E6D3B"/>
    <w:rsid w:val="009F59A3"/>
    <w:rsid w:val="00A01073"/>
    <w:rsid w:val="00A26FAD"/>
    <w:rsid w:val="00A324B0"/>
    <w:rsid w:val="00A44898"/>
    <w:rsid w:val="00A607EF"/>
    <w:rsid w:val="00A62791"/>
    <w:rsid w:val="00A7558E"/>
    <w:rsid w:val="00A770C5"/>
    <w:rsid w:val="00A804AF"/>
    <w:rsid w:val="00A836E7"/>
    <w:rsid w:val="00A95039"/>
    <w:rsid w:val="00A97273"/>
    <w:rsid w:val="00AA0189"/>
    <w:rsid w:val="00AA219C"/>
    <w:rsid w:val="00AA2ACD"/>
    <w:rsid w:val="00AA4CC3"/>
    <w:rsid w:val="00AA7CCF"/>
    <w:rsid w:val="00AB0863"/>
    <w:rsid w:val="00AB2A94"/>
    <w:rsid w:val="00AB2CCA"/>
    <w:rsid w:val="00AC1F4B"/>
    <w:rsid w:val="00AD3AD5"/>
    <w:rsid w:val="00AD4A06"/>
    <w:rsid w:val="00AE09F5"/>
    <w:rsid w:val="00AF2502"/>
    <w:rsid w:val="00B0508B"/>
    <w:rsid w:val="00B06608"/>
    <w:rsid w:val="00B102E2"/>
    <w:rsid w:val="00B26346"/>
    <w:rsid w:val="00B30109"/>
    <w:rsid w:val="00B32EF2"/>
    <w:rsid w:val="00B35F20"/>
    <w:rsid w:val="00B3664E"/>
    <w:rsid w:val="00B427ED"/>
    <w:rsid w:val="00B44636"/>
    <w:rsid w:val="00B502DE"/>
    <w:rsid w:val="00B5437A"/>
    <w:rsid w:val="00B62C78"/>
    <w:rsid w:val="00B736A4"/>
    <w:rsid w:val="00B75B17"/>
    <w:rsid w:val="00B806D3"/>
    <w:rsid w:val="00B87222"/>
    <w:rsid w:val="00B96776"/>
    <w:rsid w:val="00BA03A2"/>
    <w:rsid w:val="00BB5398"/>
    <w:rsid w:val="00BC1E91"/>
    <w:rsid w:val="00BC70ED"/>
    <w:rsid w:val="00BD0D7C"/>
    <w:rsid w:val="00BD4BAF"/>
    <w:rsid w:val="00BD6B3D"/>
    <w:rsid w:val="00BE636A"/>
    <w:rsid w:val="00BF3465"/>
    <w:rsid w:val="00BF64DE"/>
    <w:rsid w:val="00C00AE0"/>
    <w:rsid w:val="00C01E42"/>
    <w:rsid w:val="00C15C0C"/>
    <w:rsid w:val="00C16D7A"/>
    <w:rsid w:val="00C207F9"/>
    <w:rsid w:val="00C2105B"/>
    <w:rsid w:val="00C22AF6"/>
    <w:rsid w:val="00C26608"/>
    <w:rsid w:val="00C33564"/>
    <w:rsid w:val="00C462DC"/>
    <w:rsid w:val="00C54601"/>
    <w:rsid w:val="00C54641"/>
    <w:rsid w:val="00C60204"/>
    <w:rsid w:val="00C609E6"/>
    <w:rsid w:val="00C675F6"/>
    <w:rsid w:val="00C7394B"/>
    <w:rsid w:val="00C86B15"/>
    <w:rsid w:val="00C87E94"/>
    <w:rsid w:val="00C90C7A"/>
    <w:rsid w:val="00C914CF"/>
    <w:rsid w:val="00CA386D"/>
    <w:rsid w:val="00CA4F91"/>
    <w:rsid w:val="00CA6B57"/>
    <w:rsid w:val="00CB7597"/>
    <w:rsid w:val="00CC2972"/>
    <w:rsid w:val="00CC3FC5"/>
    <w:rsid w:val="00CD392F"/>
    <w:rsid w:val="00CD4C68"/>
    <w:rsid w:val="00CE571B"/>
    <w:rsid w:val="00CF6B4C"/>
    <w:rsid w:val="00D017A9"/>
    <w:rsid w:val="00D05E9B"/>
    <w:rsid w:val="00D108E4"/>
    <w:rsid w:val="00D10F7E"/>
    <w:rsid w:val="00D216D3"/>
    <w:rsid w:val="00D241C4"/>
    <w:rsid w:val="00D27204"/>
    <w:rsid w:val="00D52353"/>
    <w:rsid w:val="00D5282C"/>
    <w:rsid w:val="00D6109B"/>
    <w:rsid w:val="00D83132"/>
    <w:rsid w:val="00D842C4"/>
    <w:rsid w:val="00D84F33"/>
    <w:rsid w:val="00D961D0"/>
    <w:rsid w:val="00D96E02"/>
    <w:rsid w:val="00DA5143"/>
    <w:rsid w:val="00DA5D94"/>
    <w:rsid w:val="00DB714E"/>
    <w:rsid w:val="00DB7C2B"/>
    <w:rsid w:val="00DC1D38"/>
    <w:rsid w:val="00DC3368"/>
    <w:rsid w:val="00DE16F3"/>
    <w:rsid w:val="00DE3097"/>
    <w:rsid w:val="00E02AF0"/>
    <w:rsid w:val="00E054C1"/>
    <w:rsid w:val="00E13F86"/>
    <w:rsid w:val="00E168DF"/>
    <w:rsid w:val="00E22A5E"/>
    <w:rsid w:val="00E43DA2"/>
    <w:rsid w:val="00E50751"/>
    <w:rsid w:val="00E5511C"/>
    <w:rsid w:val="00E555AB"/>
    <w:rsid w:val="00E620DB"/>
    <w:rsid w:val="00E643E9"/>
    <w:rsid w:val="00E65977"/>
    <w:rsid w:val="00E66525"/>
    <w:rsid w:val="00E70E31"/>
    <w:rsid w:val="00E74BE2"/>
    <w:rsid w:val="00E7720C"/>
    <w:rsid w:val="00E917D0"/>
    <w:rsid w:val="00E940ED"/>
    <w:rsid w:val="00EB43D3"/>
    <w:rsid w:val="00EB78DB"/>
    <w:rsid w:val="00EC28C5"/>
    <w:rsid w:val="00EC3BAE"/>
    <w:rsid w:val="00EC429C"/>
    <w:rsid w:val="00ED06BF"/>
    <w:rsid w:val="00EE49D3"/>
    <w:rsid w:val="00EE6372"/>
    <w:rsid w:val="00EF3BD9"/>
    <w:rsid w:val="00F226C6"/>
    <w:rsid w:val="00F26D26"/>
    <w:rsid w:val="00F432A7"/>
    <w:rsid w:val="00F46BB8"/>
    <w:rsid w:val="00F5281F"/>
    <w:rsid w:val="00F74942"/>
    <w:rsid w:val="00F74E3F"/>
    <w:rsid w:val="00F87D29"/>
    <w:rsid w:val="00F9231E"/>
    <w:rsid w:val="00F94FBF"/>
    <w:rsid w:val="00F95A32"/>
    <w:rsid w:val="00F9636A"/>
    <w:rsid w:val="00FA1FF9"/>
    <w:rsid w:val="00FD358C"/>
    <w:rsid w:val="00FE187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4F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2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5E9B"/>
    <w:rPr>
      <w:sz w:val="16"/>
      <w:szCs w:val="16"/>
    </w:rPr>
  </w:style>
  <w:style w:type="paragraph" w:styleId="CommentText">
    <w:name w:val="annotation text"/>
    <w:basedOn w:val="Normal"/>
    <w:link w:val="CommentTextChar"/>
    <w:uiPriority w:val="99"/>
    <w:semiHidden/>
    <w:unhideWhenUsed/>
    <w:rsid w:val="00D05E9B"/>
    <w:pPr>
      <w:spacing w:line="240" w:lineRule="auto"/>
    </w:pPr>
    <w:rPr>
      <w:sz w:val="20"/>
      <w:szCs w:val="20"/>
    </w:rPr>
  </w:style>
  <w:style w:type="character" w:customStyle="1" w:styleId="CommentTextChar">
    <w:name w:val="Comment Text Char"/>
    <w:basedOn w:val="DefaultParagraphFont"/>
    <w:link w:val="CommentText"/>
    <w:uiPriority w:val="99"/>
    <w:semiHidden/>
    <w:rsid w:val="00D05E9B"/>
    <w:rPr>
      <w:sz w:val="20"/>
      <w:szCs w:val="20"/>
    </w:rPr>
  </w:style>
  <w:style w:type="paragraph" w:styleId="CommentSubject">
    <w:name w:val="annotation subject"/>
    <w:basedOn w:val="CommentText"/>
    <w:next w:val="CommentText"/>
    <w:link w:val="CommentSubjectChar"/>
    <w:uiPriority w:val="99"/>
    <w:semiHidden/>
    <w:unhideWhenUsed/>
    <w:rsid w:val="00D05E9B"/>
    <w:rPr>
      <w:b/>
      <w:bCs/>
    </w:rPr>
  </w:style>
  <w:style w:type="character" w:customStyle="1" w:styleId="CommentSubjectChar">
    <w:name w:val="Comment Subject Char"/>
    <w:basedOn w:val="CommentTextChar"/>
    <w:link w:val="CommentSubject"/>
    <w:uiPriority w:val="99"/>
    <w:semiHidden/>
    <w:rsid w:val="00D05E9B"/>
    <w:rPr>
      <w:b/>
      <w:bCs/>
      <w:sz w:val="20"/>
      <w:szCs w:val="20"/>
    </w:rPr>
  </w:style>
  <w:style w:type="paragraph" w:styleId="BalloonText">
    <w:name w:val="Balloon Text"/>
    <w:basedOn w:val="Normal"/>
    <w:link w:val="BalloonTextChar"/>
    <w:uiPriority w:val="99"/>
    <w:semiHidden/>
    <w:unhideWhenUsed/>
    <w:rsid w:val="00D05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E9B"/>
    <w:rPr>
      <w:rFonts w:ascii="Segoe UI" w:hAnsi="Segoe UI" w:cs="Segoe UI"/>
      <w:sz w:val="18"/>
      <w:szCs w:val="18"/>
    </w:rPr>
  </w:style>
  <w:style w:type="paragraph" w:styleId="NormalWeb">
    <w:name w:val="Normal (Web)"/>
    <w:basedOn w:val="Normal"/>
    <w:uiPriority w:val="99"/>
    <w:semiHidden/>
    <w:unhideWhenUsed/>
    <w:rsid w:val="008528E5"/>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DB7C2B"/>
    <w:rPr>
      <w:color w:val="0563C1" w:themeColor="hyperlink"/>
      <w:u w:val="single"/>
    </w:rPr>
  </w:style>
  <w:style w:type="paragraph" w:styleId="Revision">
    <w:name w:val="Revision"/>
    <w:hidden/>
    <w:uiPriority w:val="99"/>
    <w:semiHidden/>
    <w:rsid w:val="00013418"/>
    <w:pPr>
      <w:spacing w:after="0" w:line="240" w:lineRule="auto"/>
    </w:pPr>
  </w:style>
  <w:style w:type="paragraph" w:styleId="NoSpacing">
    <w:name w:val="No Spacing"/>
    <w:basedOn w:val="Normal"/>
    <w:uiPriority w:val="1"/>
    <w:qFormat/>
    <w:rsid w:val="005927FC"/>
    <w:pPr>
      <w:spacing w:after="0" w:line="240" w:lineRule="auto"/>
    </w:pPr>
    <w:rPr>
      <w:rFonts w:ascii="Calibri" w:hAnsi="Calibri" w:cs="Calibri"/>
    </w:rPr>
  </w:style>
  <w:style w:type="paragraph" w:styleId="Header">
    <w:name w:val="header"/>
    <w:basedOn w:val="Normal"/>
    <w:link w:val="HeaderChar"/>
    <w:uiPriority w:val="99"/>
    <w:rsid w:val="00246C54"/>
    <w:pPr>
      <w:tabs>
        <w:tab w:val="center" w:pos="4320"/>
        <w:tab w:val="right" w:pos="864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246C54"/>
    <w:rPr>
      <w:rFonts w:ascii="Arial" w:eastAsia="Times New Roman" w:hAnsi="Arial" w:cs="Times New Roman"/>
      <w:sz w:val="24"/>
      <w:szCs w:val="24"/>
    </w:rPr>
  </w:style>
  <w:style w:type="paragraph" w:styleId="ListParagraph">
    <w:name w:val="List Paragraph"/>
    <w:basedOn w:val="Normal"/>
    <w:uiPriority w:val="34"/>
    <w:qFormat/>
    <w:rsid w:val="00CD392F"/>
    <w:pPr>
      <w:ind w:left="720"/>
      <w:contextualSpacing/>
    </w:pPr>
  </w:style>
  <w:style w:type="paragraph" w:styleId="Footer">
    <w:name w:val="footer"/>
    <w:basedOn w:val="Normal"/>
    <w:link w:val="FooterChar"/>
    <w:uiPriority w:val="99"/>
    <w:unhideWhenUsed/>
    <w:rsid w:val="00291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046"/>
  </w:style>
  <w:style w:type="character" w:customStyle="1" w:styleId="fontstyle01">
    <w:name w:val="fontstyle01"/>
    <w:basedOn w:val="DefaultParagraphFont"/>
    <w:rsid w:val="00C207F9"/>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C207F9"/>
    <w:rPr>
      <w:rFonts w:ascii="TimesNewRomanPS-ItalicMT" w:hAnsi="TimesNewRomanPS-ItalicMT"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707285">
      <w:bodyDiv w:val="1"/>
      <w:marLeft w:val="0"/>
      <w:marRight w:val="0"/>
      <w:marTop w:val="0"/>
      <w:marBottom w:val="0"/>
      <w:divBdr>
        <w:top w:val="none" w:sz="0" w:space="0" w:color="auto"/>
        <w:left w:val="none" w:sz="0" w:space="0" w:color="auto"/>
        <w:bottom w:val="none" w:sz="0" w:space="0" w:color="auto"/>
        <w:right w:val="none" w:sz="0" w:space="0" w:color="auto"/>
      </w:divBdr>
    </w:div>
    <w:div w:id="1543055534">
      <w:bodyDiv w:val="1"/>
      <w:marLeft w:val="0"/>
      <w:marRight w:val="0"/>
      <w:marTop w:val="0"/>
      <w:marBottom w:val="0"/>
      <w:divBdr>
        <w:top w:val="none" w:sz="0" w:space="0" w:color="auto"/>
        <w:left w:val="none" w:sz="0" w:space="0" w:color="auto"/>
        <w:bottom w:val="none" w:sz="0" w:space="0" w:color="auto"/>
        <w:right w:val="none" w:sz="0" w:space="0" w:color="auto"/>
      </w:divBdr>
    </w:div>
    <w:div w:id="204447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2500B-E22F-46C4-B769-EBE1F48B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2554</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2018-04-17T01:40:00Z</dcterms:created>
  <dcterms:modified xsi:type="dcterms:W3CDTF">2018-04-17T01:40:00Z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http://www.zotero.org/styles/british-journal-of-pharmacology</vt:lpwstr>
  </property>
  <property fmtid="{D5CDD505-2E9C-101B-9397-08002B2CF9AE}" pid="9" name="Mendeley Recent Style Name 3_1">
    <vt:lpwstr>British Journal of Pharmacology</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http://www.zotero.org/styles/clinical-pharmacology-and-therapeutics</vt:lpwstr>
  </property>
  <property fmtid="{D5CDD505-2E9C-101B-9397-08002B2CF9AE}" pid="13" name="Mendeley Recent Style Name 5_1">
    <vt:lpwstr>Clinical Pharmacology &amp; Therapeutics</vt:lpwstr>
  </property>
  <property fmtid="{D5CDD505-2E9C-101B-9397-08002B2CF9AE}" pid="14" name="Mendeley Recent Style Id 6_1">
    <vt:lpwstr>http://www.zotero.org/styles/drug-metabolism-and-disposition</vt:lpwstr>
  </property>
  <property fmtid="{D5CDD505-2E9C-101B-9397-08002B2CF9AE}" pid="15" name="Mendeley Recent Style Name 6_1">
    <vt:lpwstr>Drug Metabolism and Disposition</vt:lpwstr>
  </property>
  <property fmtid="{D5CDD505-2E9C-101B-9397-08002B2CF9AE}" pid="16" name="Mendeley Recent Style Id 7_1">
    <vt:lpwstr>http://www.zotero.org/styles/hepatology</vt:lpwstr>
  </property>
  <property fmtid="{D5CDD505-2E9C-101B-9397-08002B2CF9AE}" pid="17" name="Mendeley Recent Style Name 7_1">
    <vt:lpwstr>Hepatology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http://www.zotero.org/styles/pnas</vt:lpwstr>
  </property>
  <property fmtid="{D5CDD505-2E9C-101B-9397-08002B2CF9AE}" pid="21" name="Mendeley Recent Style Name 9_1">
    <vt:lpwstr>Proceedings of the National Academy of Sciences of the United States of America</vt:lpwstr>
  </property>
  <property fmtid="{D5CDD505-2E9C-101B-9397-08002B2CF9AE}" pid="22" name="Mendeley Document_1">
    <vt:lpwstr>True</vt:lpwstr>
  </property>
  <property fmtid="{D5CDD505-2E9C-101B-9397-08002B2CF9AE}" pid="23" name="Mendeley Unique User Id_1">
    <vt:lpwstr>4d7b50db-5c43-38a4-a1f6-1befd9e54280</vt:lpwstr>
  </property>
  <property fmtid="{D5CDD505-2E9C-101B-9397-08002B2CF9AE}" pid="24" name="Mendeley Citation Style_1">
    <vt:lpwstr>http://www.zotero.org/styles/nature</vt:lpwstr>
  </property>
</Properties>
</file>